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C6B" w:rsidRDefault="00457C6B">
      <w:pPr>
        <w:pStyle w:val="Titolo"/>
        <w:rPr>
          <w:rFonts w:ascii="Verdana" w:hAnsi="Verdana"/>
          <w:i w:val="0"/>
          <w:sz w:val="40"/>
        </w:rPr>
      </w:pPr>
    </w:p>
    <w:p w:rsidR="00457C6B" w:rsidRDefault="00457C6B">
      <w:pPr>
        <w:pStyle w:val="Titolo"/>
        <w:rPr>
          <w:rFonts w:ascii="Palatino Linotype" w:hAnsi="Palatino Linotype"/>
          <w:i w:val="0"/>
          <w:sz w:val="40"/>
        </w:rPr>
      </w:pPr>
    </w:p>
    <w:p w:rsidR="00457C6B" w:rsidRDefault="0047703E">
      <w:pPr>
        <w:pStyle w:val="Titolo"/>
        <w:rPr>
          <w:rFonts w:ascii="Palatino Linotype" w:hAnsi="Palatino Linotype"/>
          <w:b w:val="0"/>
          <w:i w:val="0"/>
          <w:sz w:val="40"/>
        </w:rPr>
      </w:pPr>
      <w:r>
        <w:rPr>
          <w:rFonts w:ascii="Palatino Linotype" w:hAnsi="Palatino Linotype"/>
          <w:b w:val="0"/>
          <w:i w:val="0"/>
          <w:sz w:val="40"/>
        </w:rPr>
        <w:t xml:space="preserve">COMUNE </w:t>
      </w:r>
      <w:proofErr w:type="spellStart"/>
      <w:r>
        <w:rPr>
          <w:rFonts w:ascii="Palatino Linotype" w:hAnsi="Palatino Linotype"/>
          <w:b w:val="0"/>
          <w:i w:val="0"/>
          <w:sz w:val="40"/>
        </w:rPr>
        <w:t>DI</w:t>
      </w:r>
      <w:proofErr w:type="spellEnd"/>
      <w:r>
        <w:rPr>
          <w:rFonts w:ascii="Palatino Linotype" w:hAnsi="Palatino Linotype"/>
          <w:b w:val="0"/>
          <w:i w:val="0"/>
          <w:sz w:val="40"/>
        </w:rPr>
        <w:t xml:space="preserve"> ____________</w:t>
      </w:r>
    </w:p>
    <w:p w:rsidR="00457C6B" w:rsidRDefault="0047703E">
      <w:pPr>
        <w:pStyle w:val="Titolo"/>
        <w:rPr>
          <w:rFonts w:ascii="Palatino Linotype" w:hAnsi="Palatino Linotype"/>
          <w:b w:val="0"/>
          <w:i w:val="0"/>
          <w:sz w:val="40"/>
        </w:rPr>
      </w:pPr>
      <w:r>
        <w:rPr>
          <w:rFonts w:ascii="Palatino Linotype" w:hAnsi="Palatino Linotype"/>
          <w:b w:val="0"/>
          <w:i w:val="0"/>
          <w:sz w:val="40"/>
        </w:rPr>
        <w:t>Provincia di __________</w:t>
      </w:r>
    </w:p>
    <w:p w:rsidR="00457C6B" w:rsidRDefault="00457C6B">
      <w:pPr>
        <w:pStyle w:val="Titolo"/>
        <w:rPr>
          <w:rFonts w:ascii="Palatino Linotype" w:hAnsi="Palatino Linotype"/>
          <w:i w:val="0"/>
          <w:sz w:val="40"/>
        </w:rPr>
      </w:pPr>
    </w:p>
    <w:p w:rsidR="00457C6B" w:rsidRDefault="00457C6B">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40"/>
        </w:rPr>
      </w:pPr>
    </w:p>
    <w:p w:rsidR="00457C6B" w:rsidRDefault="0047703E">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40"/>
        </w:rPr>
      </w:pPr>
      <w:r>
        <w:rPr>
          <w:rFonts w:ascii="Palatino Linotype" w:hAnsi="Palatino Linotype"/>
          <w:i w:val="0"/>
          <w:sz w:val="40"/>
        </w:rPr>
        <w:t xml:space="preserve">PARERE DELL’ORGANO </w:t>
      </w:r>
      <w:proofErr w:type="spellStart"/>
      <w:r>
        <w:rPr>
          <w:rFonts w:ascii="Palatino Linotype" w:hAnsi="Palatino Linotype"/>
          <w:i w:val="0"/>
          <w:sz w:val="40"/>
        </w:rPr>
        <w:t>DI</w:t>
      </w:r>
      <w:proofErr w:type="spellEnd"/>
      <w:r>
        <w:rPr>
          <w:rFonts w:ascii="Palatino Linotype" w:hAnsi="Palatino Linotype"/>
          <w:i w:val="0"/>
          <w:sz w:val="40"/>
        </w:rPr>
        <w:t xml:space="preserve"> REVISIONE</w:t>
      </w:r>
    </w:p>
    <w:p w:rsidR="00457C6B" w:rsidRDefault="0047703E">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28"/>
        </w:rPr>
      </w:pPr>
      <w:r>
        <w:rPr>
          <w:rFonts w:ascii="Palatino Linotype" w:hAnsi="Palatino Linotype"/>
          <w:i w:val="0"/>
          <w:sz w:val="28"/>
        </w:rPr>
        <w:t xml:space="preserve">SULLA PROPOSTA </w:t>
      </w:r>
      <w:proofErr w:type="spellStart"/>
      <w:r>
        <w:rPr>
          <w:rFonts w:ascii="Palatino Linotype" w:hAnsi="Palatino Linotype"/>
          <w:i w:val="0"/>
          <w:sz w:val="28"/>
        </w:rPr>
        <w:t>DI</w:t>
      </w:r>
      <w:proofErr w:type="spellEnd"/>
    </w:p>
    <w:p w:rsidR="00457C6B" w:rsidRDefault="0047703E">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44"/>
        </w:rPr>
      </w:pPr>
      <w:r>
        <w:rPr>
          <w:rFonts w:ascii="Palatino Linotype" w:hAnsi="Palatino Linotype"/>
          <w:i w:val="0"/>
          <w:sz w:val="44"/>
        </w:rPr>
        <w:t xml:space="preserve">BILANCIO </w:t>
      </w:r>
      <w:proofErr w:type="spellStart"/>
      <w:r>
        <w:rPr>
          <w:rFonts w:ascii="Palatino Linotype" w:hAnsi="Palatino Linotype"/>
          <w:i w:val="0"/>
          <w:sz w:val="44"/>
        </w:rPr>
        <w:t>DI</w:t>
      </w:r>
      <w:proofErr w:type="spellEnd"/>
      <w:r>
        <w:rPr>
          <w:rFonts w:ascii="Palatino Linotype" w:hAnsi="Palatino Linotype"/>
          <w:i w:val="0"/>
          <w:sz w:val="44"/>
        </w:rPr>
        <w:t xml:space="preserve"> PREVISIONE 2015</w:t>
      </w:r>
    </w:p>
    <w:p w:rsidR="00457C6B" w:rsidRDefault="0047703E">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28"/>
        </w:rPr>
      </w:pPr>
      <w:r>
        <w:rPr>
          <w:rFonts w:ascii="Palatino Linotype" w:hAnsi="Palatino Linotype"/>
          <w:i w:val="0"/>
          <w:sz w:val="28"/>
        </w:rPr>
        <w:t>E DOCUMENTI ALLEGATI</w:t>
      </w:r>
    </w:p>
    <w:p w:rsidR="00457C6B" w:rsidRDefault="0047703E">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i w:val="0"/>
          <w:sz w:val="28"/>
        </w:rPr>
      </w:pPr>
      <w:r>
        <w:rPr>
          <w:rFonts w:ascii="Palatino Linotype" w:hAnsi="Palatino Linotype"/>
          <w:i w:val="0"/>
          <w:sz w:val="24"/>
        </w:rPr>
        <w:t>© CNDCEC -ANCREL – 2015</w:t>
      </w:r>
    </w:p>
    <w:p w:rsidR="00457C6B" w:rsidRDefault="00457C6B">
      <w:pPr>
        <w:pStyle w:val="Titolo"/>
        <w:pBdr>
          <w:top w:val="thickThinSmallGap" w:sz="18" w:space="1" w:color="auto"/>
          <w:left w:val="thickThinSmallGap" w:sz="18" w:space="4" w:color="auto"/>
          <w:bottom w:val="thinThickSmallGap" w:sz="18" w:space="1" w:color="auto"/>
          <w:right w:val="thinThickSmallGap" w:sz="18" w:space="4" w:color="auto"/>
        </w:pBdr>
        <w:rPr>
          <w:rFonts w:ascii="Palatino Linotype" w:hAnsi="Palatino Linotype"/>
          <w:b w:val="0"/>
          <w:i w:val="0"/>
          <w:sz w:val="28"/>
        </w:rPr>
      </w:pPr>
    </w:p>
    <w:p w:rsidR="00457C6B" w:rsidRDefault="00457C6B">
      <w:pPr>
        <w:pStyle w:val="Titolo"/>
        <w:rPr>
          <w:rFonts w:ascii="Palatino Linotype" w:hAnsi="Palatino Linotype"/>
          <w:i w:val="0"/>
          <w:sz w:val="28"/>
        </w:rPr>
      </w:pPr>
    </w:p>
    <w:p w:rsidR="00457C6B" w:rsidRDefault="0047703E">
      <w:pPr>
        <w:pStyle w:val="Titolo"/>
        <w:rPr>
          <w:rFonts w:ascii="Palatino Linotype" w:hAnsi="Palatino Linotype"/>
          <w:b w:val="0"/>
          <w:sz w:val="28"/>
        </w:rPr>
      </w:pPr>
      <w:r>
        <w:rPr>
          <w:rFonts w:ascii="Palatino Linotype" w:hAnsi="Palatino Linotype"/>
          <w:b w:val="0"/>
          <w:sz w:val="28"/>
        </w:rPr>
        <w:t xml:space="preserve">L’ORGANO </w:t>
      </w:r>
      <w:proofErr w:type="spellStart"/>
      <w:r>
        <w:rPr>
          <w:rFonts w:ascii="Palatino Linotype" w:hAnsi="Palatino Linotype"/>
          <w:b w:val="0"/>
          <w:sz w:val="28"/>
        </w:rPr>
        <w:t>DI</w:t>
      </w:r>
      <w:proofErr w:type="spellEnd"/>
      <w:r>
        <w:rPr>
          <w:rFonts w:ascii="Palatino Linotype" w:hAnsi="Palatino Linotype"/>
          <w:b w:val="0"/>
          <w:sz w:val="28"/>
        </w:rPr>
        <w:t xml:space="preserve"> REVISIONE</w:t>
      </w:r>
    </w:p>
    <w:p w:rsidR="00457C6B" w:rsidRDefault="0047703E">
      <w:pPr>
        <w:pStyle w:val="Titolo"/>
        <w:rPr>
          <w:rFonts w:ascii="Palatino Linotype" w:hAnsi="Palatino Linotype"/>
          <w:b w:val="0"/>
          <w:sz w:val="28"/>
        </w:rPr>
      </w:pPr>
      <w:r>
        <w:rPr>
          <w:rFonts w:ascii="Palatino Linotype" w:hAnsi="Palatino Linotype"/>
          <w:b w:val="0"/>
          <w:sz w:val="28"/>
        </w:rPr>
        <w:t xml:space="preserve"> _________________</w:t>
      </w:r>
    </w:p>
    <w:p w:rsidR="00457C6B" w:rsidRDefault="0047703E">
      <w:pPr>
        <w:pStyle w:val="Titolo"/>
        <w:rPr>
          <w:rFonts w:ascii="Palatino Linotype" w:hAnsi="Palatino Linotype"/>
          <w:b w:val="0"/>
          <w:sz w:val="28"/>
        </w:rPr>
      </w:pPr>
      <w:r>
        <w:rPr>
          <w:rFonts w:ascii="Palatino Linotype" w:hAnsi="Palatino Linotype"/>
          <w:b w:val="0"/>
          <w:sz w:val="28"/>
        </w:rPr>
        <w:t xml:space="preserve"> _________________</w:t>
      </w:r>
    </w:p>
    <w:p w:rsidR="00457C6B" w:rsidRDefault="0047703E">
      <w:pPr>
        <w:pStyle w:val="Titolo"/>
        <w:rPr>
          <w:rFonts w:ascii="Palatino Linotype" w:hAnsi="Palatino Linotype"/>
          <w:b w:val="0"/>
          <w:sz w:val="28"/>
        </w:rPr>
      </w:pPr>
      <w:r>
        <w:rPr>
          <w:rFonts w:ascii="Palatino Linotype" w:hAnsi="Palatino Linotype"/>
          <w:b w:val="0"/>
          <w:sz w:val="28"/>
        </w:rPr>
        <w:t xml:space="preserve"> _________________</w:t>
      </w:r>
    </w:p>
    <w:p w:rsidR="00457C6B" w:rsidRDefault="0047703E">
      <w:pPr>
        <w:jc w:val="center"/>
      </w:pPr>
      <w:r>
        <w:br w:type="page"/>
      </w:r>
      <w:r>
        <w:lastRenderedPageBreak/>
        <w:t>Comune di ____________________________</w:t>
      </w:r>
    </w:p>
    <w:p w:rsidR="00457C6B" w:rsidRDefault="00457C6B">
      <w:pPr>
        <w:jc w:val="center"/>
      </w:pPr>
    </w:p>
    <w:p w:rsidR="00457C6B" w:rsidRDefault="0047703E">
      <w:pPr>
        <w:jc w:val="center"/>
      </w:pPr>
      <w:r>
        <w:t xml:space="preserve">Collegio dei Revisori </w:t>
      </w:r>
      <w:r>
        <w:rPr>
          <w:color w:val="4F81BD"/>
        </w:rPr>
        <w:t>(o Revisore unico)</w:t>
      </w:r>
    </w:p>
    <w:p w:rsidR="00457C6B" w:rsidRDefault="00457C6B">
      <w:pPr>
        <w:jc w:val="center"/>
      </w:pPr>
    </w:p>
    <w:p w:rsidR="00457C6B" w:rsidRDefault="0047703E">
      <w:pPr>
        <w:jc w:val="center"/>
      </w:pPr>
      <w:r>
        <w:t>Verbale n.</w:t>
      </w:r>
      <w:r>
        <w:tab/>
        <w:t xml:space="preserve"> del</w:t>
      </w:r>
    </w:p>
    <w:p w:rsidR="00457C6B" w:rsidRDefault="00457C6B">
      <w:pPr>
        <w:jc w:val="center"/>
      </w:pPr>
    </w:p>
    <w:p w:rsidR="00457C6B" w:rsidRDefault="0047703E">
      <w:pPr>
        <w:jc w:val="center"/>
      </w:pPr>
      <w:r>
        <w:t xml:space="preserve">PARERE SUL BILANCIO </w:t>
      </w:r>
      <w:proofErr w:type="spellStart"/>
      <w:r>
        <w:t>DI</w:t>
      </w:r>
      <w:proofErr w:type="spellEnd"/>
      <w:r>
        <w:t xml:space="preserve"> PREVISIONE 2015</w:t>
      </w:r>
    </w:p>
    <w:p w:rsidR="00457C6B" w:rsidRDefault="0047703E">
      <w:pPr>
        <w:pStyle w:val="cpv"/>
        <w:widowControl/>
        <w:tabs>
          <w:tab w:val="left" w:pos="6652"/>
        </w:tabs>
        <w:spacing w:before="260"/>
        <w:rPr>
          <w:rFonts w:ascii="Palatino Linotype" w:hAnsi="Palatino Linotype" w:cs="Arial"/>
          <w:sz w:val="24"/>
        </w:rPr>
      </w:pPr>
      <w:r>
        <w:rPr>
          <w:rFonts w:ascii="Palatino Linotype" w:hAnsi="Palatino Linotype" w:cs="Arial"/>
          <w:sz w:val="24"/>
        </w:rPr>
        <w:t xml:space="preserve">L’'organo di revisione, </w:t>
      </w:r>
    </w:p>
    <w:p w:rsidR="00457C6B" w:rsidRDefault="0047703E">
      <w:pPr>
        <w:pStyle w:val="sottocpv1"/>
        <w:widowControl/>
        <w:rPr>
          <w:rFonts w:ascii="Palatino Linotype" w:hAnsi="Palatino Linotype" w:cs="Arial"/>
          <w:sz w:val="24"/>
        </w:rPr>
      </w:pPr>
      <w:r>
        <w:rPr>
          <w:rFonts w:ascii="Palatino Linotype" w:hAnsi="Palatino Linotype" w:cs="Arial"/>
          <w:sz w:val="24"/>
        </w:rPr>
        <w:t>esaminata la proposta di bilancio di previsione 2015, unitamente agli allegati di legge;</w:t>
      </w:r>
    </w:p>
    <w:p w:rsidR="00457C6B" w:rsidRDefault="0047703E">
      <w:pPr>
        <w:pStyle w:val="sottocpv1"/>
        <w:widowControl/>
        <w:rPr>
          <w:rFonts w:ascii="Palatino Linotype" w:hAnsi="Palatino Linotype" w:cs="Arial"/>
          <w:sz w:val="24"/>
        </w:rPr>
      </w:pPr>
      <w:r>
        <w:rPr>
          <w:rFonts w:ascii="Palatino Linotype" w:hAnsi="Palatino Linotype" w:cs="Arial"/>
          <w:sz w:val="24"/>
        </w:rPr>
        <w:t>Visto:</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 xml:space="preserve"> il </w:t>
      </w:r>
      <w:proofErr w:type="spellStart"/>
      <w:r>
        <w:rPr>
          <w:rFonts w:ascii="Palatino Linotype" w:hAnsi="Palatino Linotype" w:cs="Arial"/>
          <w:sz w:val="24"/>
        </w:rPr>
        <w:t>D.Lgs.</w:t>
      </w:r>
      <w:proofErr w:type="spellEnd"/>
      <w:r>
        <w:rPr>
          <w:rFonts w:ascii="Palatino Linotype" w:hAnsi="Palatino Linotype" w:cs="Arial"/>
          <w:sz w:val="24"/>
        </w:rPr>
        <w:t xml:space="preserve"> 18 agosto 2000, n. 267 «Testo unico delle leggi sull'ordinamento degli enti locali» (TUEL);</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il D.P.R. 31 gennaio 1996, n. 194;</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il d.lgs. 23/6/2011 n.118;</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 xml:space="preserve"> i principi contabili per gli enti locali emanati dall’Osservatorio per la finanza e contabilità degli enti locali;</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 xml:space="preserve"> il principio applicato alla contabilità finanziaria (allegato 4/2 al d.lgs. 118/2011);</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 xml:space="preserve"> i principi di vigilanza e controllo dell’organo di revisione degli enti locali approvati dal Consiglio nazionale dei Dottori commercialisti e degli Esperti contabili;</w:t>
      </w:r>
    </w:p>
    <w:p w:rsidR="00457C6B" w:rsidRDefault="0047703E">
      <w:pPr>
        <w:pStyle w:val="sottocpv1"/>
        <w:widowControl/>
        <w:numPr>
          <w:ilvl w:val="0"/>
          <w:numId w:val="27"/>
        </w:numPr>
        <w:rPr>
          <w:rFonts w:ascii="Palatino Linotype" w:hAnsi="Palatino Linotype" w:cs="Arial"/>
          <w:sz w:val="24"/>
        </w:rPr>
      </w:pPr>
      <w:r>
        <w:rPr>
          <w:rFonts w:ascii="Palatino Linotype" w:hAnsi="Palatino Linotype" w:cs="Arial"/>
          <w:sz w:val="24"/>
        </w:rPr>
        <w:t>lo statuto ed al regolamento di contabilità;</w:t>
      </w:r>
    </w:p>
    <w:p w:rsidR="00457C6B" w:rsidRDefault="0047703E">
      <w:pPr>
        <w:pStyle w:val="CPVCcvo"/>
        <w:widowControl/>
        <w:spacing w:after="0"/>
        <w:jc w:val="left"/>
        <w:rPr>
          <w:rFonts w:ascii="Palatino Linotype" w:hAnsi="Palatino Linotype" w:cs="Arial"/>
          <w:sz w:val="24"/>
        </w:rPr>
      </w:pPr>
      <w:r>
        <w:rPr>
          <w:rFonts w:ascii="Palatino Linotype" w:hAnsi="Palatino Linotype" w:cs="Arial"/>
          <w:sz w:val="24"/>
        </w:rPr>
        <w:t xml:space="preserve"> (all'unanimità di voti)</w:t>
      </w:r>
    </w:p>
    <w:p w:rsidR="00457C6B" w:rsidRDefault="0047703E">
      <w:pPr>
        <w:pStyle w:val="CPVC"/>
        <w:widowControl/>
        <w:spacing w:after="0"/>
        <w:rPr>
          <w:rFonts w:ascii="Palatino Linotype" w:hAnsi="Palatino Linotype" w:cs="Arial"/>
          <w:b/>
          <w:color w:val="4F81BD"/>
          <w:sz w:val="32"/>
        </w:rPr>
      </w:pPr>
      <w:r>
        <w:rPr>
          <w:rFonts w:ascii="Palatino Linotype" w:hAnsi="Palatino Linotype" w:cs="Arial"/>
          <w:b/>
          <w:sz w:val="32"/>
        </w:rPr>
        <w:t xml:space="preserve">Delibera </w:t>
      </w:r>
    </w:p>
    <w:p w:rsidR="00457C6B" w:rsidRDefault="0047703E">
      <w:pPr>
        <w:pStyle w:val="cpv"/>
        <w:widowControl/>
        <w:spacing w:before="260"/>
        <w:rPr>
          <w:rFonts w:ascii="Palatino Linotype" w:hAnsi="Palatino Linotype" w:cs="Arial"/>
          <w:sz w:val="24"/>
        </w:rPr>
      </w:pPr>
      <w:r>
        <w:rPr>
          <w:rFonts w:ascii="Palatino Linotype" w:hAnsi="Palatino Linotype" w:cs="Arial"/>
          <w:sz w:val="24"/>
        </w:rPr>
        <w:t>di approvare l'allegata relazione quale parere sulla proposta di bilancio di previsione per l'esercizio 2015, del Comune di _______________</w:t>
      </w:r>
      <w:r>
        <w:rPr>
          <w:rFonts w:ascii="Palatino Linotype" w:hAnsi="Palatino Linotype" w:cs="Arial"/>
          <w:sz w:val="24"/>
        </w:rPr>
        <w:tab/>
        <w:t>che forma parte integrante e sostanziale del presente verbale.</w:t>
      </w:r>
    </w:p>
    <w:p w:rsidR="00457C6B" w:rsidRDefault="0047703E">
      <w:pPr>
        <w:pStyle w:val="CPVC"/>
        <w:widowControl/>
        <w:spacing w:after="0"/>
        <w:jc w:val="left"/>
        <w:rPr>
          <w:rFonts w:ascii="Times New Roman" w:hAnsi="Times New Roman" w:cs="Times New Roman"/>
          <w:b/>
          <w:color w:val="4F81BD"/>
          <w:sz w:val="24"/>
          <w:szCs w:val="24"/>
        </w:rPr>
      </w:pPr>
      <w:r>
        <w:rPr>
          <w:rFonts w:ascii="Times New Roman" w:hAnsi="Times New Roman" w:cs="Times New Roman"/>
          <w:b/>
          <w:i/>
          <w:color w:val="4F81BD"/>
          <w:sz w:val="24"/>
          <w:szCs w:val="24"/>
        </w:rPr>
        <w:t>(Nel caso di revisore unico)</w:t>
      </w:r>
      <w:r>
        <w:rPr>
          <w:rFonts w:ascii="Times New Roman" w:hAnsi="Times New Roman" w:cs="Times New Roman"/>
          <w:b/>
          <w:color w:val="4F81BD"/>
          <w:sz w:val="24"/>
          <w:szCs w:val="24"/>
        </w:rPr>
        <w:tab/>
      </w:r>
      <w:r>
        <w:rPr>
          <w:rFonts w:ascii="Times New Roman" w:hAnsi="Times New Roman" w:cs="Times New Roman"/>
          <w:b/>
          <w:color w:val="4F81BD"/>
          <w:sz w:val="24"/>
          <w:szCs w:val="24"/>
        </w:rPr>
        <w:tab/>
        <w:t>Presenta</w:t>
      </w:r>
    </w:p>
    <w:p w:rsidR="00457C6B" w:rsidRDefault="0047703E">
      <w:pPr>
        <w:pStyle w:val="cpv"/>
        <w:widowControl/>
        <w:spacing w:before="260"/>
        <w:rPr>
          <w:rFonts w:ascii="Times New Roman" w:hAnsi="Times New Roman" w:cs="Times New Roman"/>
          <w:color w:val="4F81BD"/>
          <w:sz w:val="24"/>
          <w:szCs w:val="24"/>
        </w:rPr>
      </w:pPr>
      <w:r>
        <w:rPr>
          <w:rFonts w:ascii="Times New Roman" w:hAnsi="Times New Roman" w:cs="Times New Roman"/>
          <w:color w:val="4F81BD"/>
          <w:sz w:val="24"/>
          <w:szCs w:val="24"/>
        </w:rPr>
        <w:t>l'allegata relazione quale parere sulla proposta di bilancio di previsione per l'esercizio 2015, del Comune di _______________</w:t>
      </w:r>
      <w:r>
        <w:rPr>
          <w:rFonts w:ascii="Times New Roman" w:hAnsi="Times New Roman" w:cs="Times New Roman"/>
          <w:color w:val="4F81BD"/>
          <w:sz w:val="24"/>
          <w:szCs w:val="24"/>
        </w:rPr>
        <w:tab/>
        <w:t>che forma parte integrante e sostanziale del presente verbale.</w:t>
      </w:r>
    </w:p>
    <w:p w:rsidR="00457C6B" w:rsidRDefault="0047703E">
      <w:pPr>
        <w:pStyle w:val="cpv"/>
        <w:widowControl/>
        <w:spacing w:before="260"/>
        <w:rPr>
          <w:rFonts w:ascii="Palatino Linotype" w:hAnsi="Palatino Linotype" w:cs="Arial"/>
          <w:sz w:val="24"/>
        </w:rPr>
      </w:pPr>
      <w:r>
        <w:rPr>
          <w:rFonts w:ascii="Palatino Linotype" w:hAnsi="Palatino Linotype" w:cs="Arial"/>
          <w:sz w:val="24"/>
        </w:rPr>
        <w:t>_______________________, li _____________________</w:t>
      </w:r>
    </w:p>
    <w:p w:rsidR="00457C6B" w:rsidRDefault="0047703E">
      <w:pPr>
        <w:pStyle w:val="cpv"/>
        <w:widowControl/>
        <w:rPr>
          <w:rFonts w:ascii="Palatino Linotype" w:hAnsi="Palatino Linotype" w:cs="Arial"/>
          <w:sz w:val="24"/>
        </w:rPr>
      </w:pPr>
      <w:r>
        <w:rPr>
          <w:rFonts w:ascii="Palatino Linotype" w:hAnsi="Palatino Linotype" w:cs="Arial"/>
          <w:sz w:val="24"/>
        </w:rPr>
        <w:t xml:space="preserve">L’ORGANO </w:t>
      </w:r>
      <w:proofErr w:type="spellStart"/>
      <w:r>
        <w:rPr>
          <w:rFonts w:ascii="Palatino Linotype" w:hAnsi="Palatino Linotype" w:cs="Arial"/>
          <w:sz w:val="24"/>
        </w:rPr>
        <w:t>DI</w:t>
      </w:r>
      <w:proofErr w:type="spellEnd"/>
      <w:r>
        <w:rPr>
          <w:rFonts w:ascii="Palatino Linotype" w:hAnsi="Palatino Linotype" w:cs="Arial"/>
          <w:sz w:val="24"/>
        </w:rPr>
        <w:t xml:space="preserve"> REVISIONE</w:t>
      </w:r>
    </w:p>
    <w:p w:rsidR="00457C6B" w:rsidRDefault="0047703E">
      <w:pPr>
        <w:pStyle w:val="cpv"/>
        <w:widowControl/>
        <w:spacing w:after="240"/>
        <w:jc w:val="center"/>
        <w:rPr>
          <w:rFonts w:ascii="Arial" w:hAnsi="Arial" w:cs="Arial"/>
          <w:b/>
          <w:sz w:val="32"/>
        </w:rPr>
      </w:pPr>
      <w:r>
        <w:rPr>
          <w:rFonts w:ascii="Arial" w:hAnsi="Arial" w:cs="Arial"/>
        </w:rPr>
        <w:br w:type="page"/>
      </w:r>
      <w:r>
        <w:rPr>
          <w:rFonts w:ascii="Arial" w:hAnsi="Arial" w:cs="Arial"/>
          <w:b/>
          <w:sz w:val="32"/>
        </w:rPr>
        <w:lastRenderedPageBreak/>
        <w:t>Sommario</w:t>
      </w:r>
    </w:p>
    <w:p w:rsidR="00457C6B" w:rsidRDefault="0047703E">
      <w:pPr>
        <w:pStyle w:val="cpv"/>
        <w:spacing w:after="240"/>
        <w:jc w:val="left"/>
        <w:rPr>
          <w:rFonts w:ascii="Arial" w:hAnsi="Arial" w:cs="Arial"/>
          <w:i/>
          <w:sz w:val="24"/>
          <w:szCs w:val="24"/>
        </w:rPr>
      </w:pPr>
      <w:r>
        <w:rPr>
          <w:rFonts w:ascii="Arial" w:hAnsi="Arial" w:cs="Arial"/>
          <w:i/>
          <w:sz w:val="24"/>
          <w:szCs w:val="24"/>
        </w:rPr>
        <w:t>VERIFICHE PRELIMINARI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VERIFICHE DEGLI EQUILIBRI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EQUILIBRI GESTIONE DELL’ESERCIZIO 2014</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AVVIO DELLA ARMONIZZAZIONE</w:t>
      </w:r>
    </w:p>
    <w:p w:rsidR="00457C6B" w:rsidRDefault="0047703E">
      <w:pPr>
        <w:pStyle w:val="cpv"/>
        <w:spacing w:after="240"/>
        <w:jc w:val="left"/>
        <w:rPr>
          <w:rFonts w:ascii="Arial" w:hAnsi="Arial" w:cs="Arial"/>
          <w:i/>
          <w:sz w:val="24"/>
          <w:szCs w:val="24"/>
        </w:rPr>
      </w:pPr>
      <w:r>
        <w:rPr>
          <w:rFonts w:ascii="Arial" w:hAnsi="Arial" w:cs="Arial"/>
          <w:i/>
          <w:sz w:val="24"/>
          <w:szCs w:val="24"/>
        </w:rPr>
        <w:t xml:space="preserve">BILANCIO </w:t>
      </w:r>
      <w:proofErr w:type="spellStart"/>
      <w:r>
        <w:rPr>
          <w:rFonts w:ascii="Arial" w:hAnsi="Arial" w:cs="Arial"/>
          <w:i/>
          <w:sz w:val="24"/>
          <w:szCs w:val="24"/>
        </w:rPr>
        <w:t>DI</w:t>
      </w:r>
      <w:proofErr w:type="spellEnd"/>
      <w:r>
        <w:rPr>
          <w:rFonts w:ascii="Arial" w:hAnsi="Arial" w:cs="Arial"/>
          <w:i/>
          <w:sz w:val="24"/>
          <w:szCs w:val="24"/>
        </w:rPr>
        <w:t xml:space="preserve"> PREVISIONE 2015</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1. Verifica pareggio finanziario ed equivalenza dei servizi per c/terzi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2. Verifica equilibrio corrente ed in conto capitale anno 2015</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3. Verifica correlazione fra entrate a destinazione specifica o vincolata per Legge e spese con esse finanziate</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4. Verifica dell’effettivo equilibrio di parte corrente</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5. Verifica dell’equilibrio di parte straordinaria</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6. Verifica iscrizione ed utilizzo dell’avanzo</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BILANCIO PLURIENNALE</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7. Verifica dell’equilibrio corrente nel bilancio pluriennale</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VERIFICA COERENZA DELLE PREVISIONI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8. Verifica della coerenza interna</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9.  Verifica della coerenza esterna</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VERIFICA ATTENDIBILITA’ E CONGRUITA’ DELLE PREVISIONI ANNO 2015</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ENTRATE CORRENTI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SPESE CORRENTI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SPESE IN CONTO CAPITALE</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ORGANISMI PARTECIPATI</w:t>
      </w:r>
    </w:p>
    <w:p w:rsidR="00457C6B" w:rsidRDefault="0047703E">
      <w:pPr>
        <w:pStyle w:val="cpv"/>
        <w:spacing w:after="240"/>
        <w:jc w:val="left"/>
        <w:rPr>
          <w:rFonts w:ascii="Arial" w:hAnsi="Arial" w:cs="Arial"/>
          <w:i/>
          <w:sz w:val="24"/>
          <w:szCs w:val="24"/>
        </w:rPr>
      </w:pPr>
      <w:r>
        <w:rPr>
          <w:rFonts w:ascii="Arial" w:hAnsi="Arial" w:cs="Arial"/>
          <w:i/>
          <w:sz w:val="24"/>
          <w:szCs w:val="24"/>
        </w:rPr>
        <w:t>INDEBITAMENTO</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VERIFICA ATTENDIBILITA’ E CONGRUITA’ BILANCIO PLURIENNALE 2015-2017</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 xml:space="preserve">SCHEMA </w:t>
      </w:r>
      <w:proofErr w:type="spellStart"/>
      <w:r>
        <w:rPr>
          <w:rFonts w:ascii="Arial" w:hAnsi="Arial" w:cs="Arial"/>
          <w:i/>
          <w:sz w:val="24"/>
          <w:szCs w:val="24"/>
        </w:rPr>
        <w:t>DI</w:t>
      </w:r>
      <w:proofErr w:type="spellEnd"/>
      <w:r>
        <w:rPr>
          <w:rFonts w:ascii="Arial" w:hAnsi="Arial" w:cs="Arial"/>
          <w:i/>
          <w:sz w:val="24"/>
          <w:szCs w:val="24"/>
        </w:rPr>
        <w:t xml:space="preserve"> BILANCIO ARMONIZZATO</w:t>
      </w:r>
    </w:p>
    <w:p w:rsidR="00457C6B" w:rsidRDefault="0047703E">
      <w:pPr>
        <w:pStyle w:val="cpv"/>
        <w:spacing w:after="240"/>
        <w:jc w:val="left"/>
        <w:rPr>
          <w:rFonts w:ascii="Arial" w:hAnsi="Arial" w:cs="Arial"/>
          <w:i/>
          <w:sz w:val="24"/>
          <w:szCs w:val="24"/>
        </w:rPr>
      </w:pPr>
      <w:r>
        <w:rPr>
          <w:rFonts w:ascii="Arial" w:hAnsi="Arial" w:cs="Arial"/>
          <w:i/>
          <w:sz w:val="24"/>
          <w:szCs w:val="24"/>
        </w:rPr>
        <w:t>OSSERVAZIONI E SUGGERIMENTI</w:t>
      </w:r>
      <w:r>
        <w:rPr>
          <w:rFonts w:ascii="Arial" w:hAnsi="Arial" w:cs="Arial"/>
          <w:i/>
          <w:sz w:val="24"/>
          <w:szCs w:val="24"/>
        </w:rPr>
        <w:tab/>
      </w:r>
    </w:p>
    <w:p w:rsidR="00457C6B" w:rsidRDefault="0047703E">
      <w:pPr>
        <w:pStyle w:val="cpv"/>
        <w:spacing w:after="240"/>
        <w:jc w:val="left"/>
        <w:rPr>
          <w:rFonts w:ascii="Arial" w:hAnsi="Arial" w:cs="Arial"/>
          <w:i/>
          <w:sz w:val="24"/>
          <w:szCs w:val="24"/>
        </w:rPr>
      </w:pPr>
      <w:r>
        <w:rPr>
          <w:rFonts w:ascii="Arial" w:hAnsi="Arial" w:cs="Arial"/>
          <w:i/>
          <w:sz w:val="24"/>
          <w:szCs w:val="24"/>
        </w:rPr>
        <w:t>CONCLUSIONI</w:t>
      </w:r>
      <w:r>
        <w:rPr>
          <w:rFonts w:ascii="Arial" w:hAnsi="Arial" w:cs="Arial"/>
          <w:i/>
          <w:sz w:val="24"/>
          <w:szCs w:val="24"/>
        </w:rPr>
        <w:tab/>
      </w:r>
    </w:p>
    <w:p w:rsidR="00457C6B" w:rsidRDefault="00457C6B">
      <w:pPr>
        <w:pStyle w:val="cpv"/>
        <w:widowControl/>
        <w:rPr>
          <w:rFonts w:ascii="Arial" w:hAnsi="Arial" w:cs="Arial"/>
        </w:rPr>
      </w:pPr>
    </w:p>
    <w:p w:rsidR="00457C6B" w:rsidRDefault="0047703E">
      <w:pPr>
        <w:pStyle w:val="Titolo1"/>
      </w:pPr>
      <w:bookmarkStart w:id="0" w:name="_VERIFICHE_PRELIMINARI"/>
      <w:bookmarkStart w:id="1" w:name="_Toc408988053"/>
      <w:bookmarkEnd w:id="0"/>
      <w:r>
        <w:t>VERIFICHE PRELIMINARI</w:t>
      </w:r>
      <w:bookmarkEnd w:id="1"/>
    </w:p>
    <w:p w:rsidR="00457C6B" w:rsidRDefault="0047703E">
      <w:pPr>
        <w:spacing w:after="120"/>
        <w:jc w:val="both"/>
        <w:rPr>
          <w:rFonts w:ascii="Arial" w:hAnsi="Arial" w:cs="Arial"/>
          <w:sz w:val="22"/>
          <w:szCs w:val="22"/>
        </w:rPr>
      </w:pPr>
      <w:r>
        <w:rPr>
          <w:rFonts w:ascii="Arial" w:hAnsi="Arial" w:cs="Arial"/>
          <w:b/>
          <w:i/>
          <w:color w:val="0000FF"/>
          <w:sz w:val="22"/>
          <w:szCs w:val="22"/>
        </w:rPr>
        <w:t>I sottoscritti/Il sottoscritto</w:t>
      </w:r>
      <w:r>
        <w:rPr>
          <w:rFonts w:ascii="Arial" w:hAnsi="Arial" w:cs="Arial"/>
          <w:color w:val="0000FF"/>
          <w:sz w:val="22"/>
          <w:szCs w:val="22"/>
        </w:rPr>
        <w:t xml:space="preserve"> _______________</w:t>
      </w:r>
      <w:r>
        <w:rPr>
          <w:rFonts w:ascii="Arial" w:hAnsi="Arial" w:cs="Arial"/>
          <w:sz w:val="22"/>
          <w:szCs w:val="22"/>
        </w:rPr>
        <w:t xml:space="preserve"> , _______________ , _______________ , </w:t>
      </w:r>
      <w:r>
        <w:rPr>
          <w:rFonts w:ascii="Arial" w:hAnsi="Arial" w:cs="Arial"/>
          <w:b/>
          <w:i/>
          <w:color w:val="0000FF"/>
          <w:sz w:val="22"/>
          <w:szCs w:val="22"/>
        </w:rPr>
        <w:t>revisori/revisore</w:t>
      </w:r>
      <w:r>
        <w:rPr>
          <w:rFonts w:ascii="Arial" w:hAnsi="Arial" w:cs="Arial"/>
          <w:sz w:val="22"/>
          <w:szCs w:val="22"/>
        </w:rPr>
        <w:t xml:space="preserve"> ai sensi dell’art. 234 e seguenti del TUEL:</w:t>
      </w:r>
    </w:p>
    <w:p w:rsidR="00457C6B" w:rsidRDefault="0047703E">
      <w:pPr>
        <w:numPr>
          <w:ilvl w:val="0"/>
          <w:numId w:val="1"/>
        </w:numPr>
        <w:tabs>
          <w:tab w:val="left" w:pos="360"/>
          <w:tab w:val="left" w:pos="426"/>
        </w:tabs>
        <w:spacing w:after="120"/>
        <w:ind w:hanging="357"/>
        <w:jc w:val="both"/>
        <w:rPr>
          <w:rFonts w:ascii="Arial" w:hAnsi="Arial" w:cs="Arial"/>
          <w:sz w:val="22"/>
          <w:szCs w:val="22"/>
        </w:rPr>
      </w:pPr>
      <w:r>
        <w:rPr>
          <w:rFonts w:ascii="Arial" w:hAnsi="Arial" w:cs="Arial"/>
          <w:sz w:val="22"/>
          <w:szCs w:val="22"/>
        </w:rPr>
        <w:t>ricevuto in data __________ lo schema del bilancio di previsione per l’esercizio 2015, approvato dalla giunta comunale in data __________ con delibera n. _____ e i relativi seguenti allegati obbligatori:</w:t>
      </w:r>
    </w:p>
    <w:p w:rsidR="00457C6B" w:rsidRDefault="0047703E">
      <w:pPr>
        <w:numPr>
          <w:ilvl w:val="0"/>
          <w:numId w:val="2"/>
        </w:numPr>
        <w:tabs>
          <w:tab w:val="left" w:pos="786"/>
          <w:tab w:val="left" w:pos="851"/>
        </w:tabs>
        <w:spacing w:after="120"/>
        <w:rPr>
          <w:rFonts w:ascii="Arial" w:hAnsi="Arial" w:cs="Arial"/>
          <w:sz w:val="22"/>
          <w:szCs w:val="22"/>
        </w:rPr>
      </w:pPr>
      <w:r>
        <w:rPr>
          <w:rFonts w:ascii="Arial" w:hAnsi="Arial" w:cs="Arial"/>
          <w:sz w:val="22"/>
          <w:szCs w:val="22"/>
        </w:rPr>
        <w:t>bilancio pluriennale 2015/2017;</w:t>
      </w:r>
    </w:p>
    <w:p w:rsidR="00457C6B" w:rsidRDefault="0047703E">
      <w:pPr>
        <w:numPr>
          <w:ilvl w:val="0"/>
          <w:numId w:val="2"/>
        </w:numPr>
        <w:tabs>
          <w:tab w:val="left" w:pos="786"/>
          <w:tab w:val="left" w:pos="851"/>
        </w:tabs>
        <w:spacing w:after="120"/>
        <w:rPr>
          <w:rFonts w:ascii="Arial" w:hAnsi="Arial" w:cs="Arial"/>
          <w:sz w:val="22"/>
          <w:szCs w:val="22"/>
        </w:rPr>
      </w:pPr>
      <w:r>
        <w:rPr>
          <w:rFonts w:ascii="Arial" w:hAnsi="Arial" w:cs="Arial"/>
          <w:sz w:val="22"/>
          <w:szCs w:val="22"/>
        </w:rPr>
        <w:t>relazione previsionale e programmatica predisposta dalla giunta comunale;</w:t>
      </w:r>
    </w:p>
    <w:p w:rsidR="00457C6B" w:rsidRDefault="0047703E">
      <w:pPr>
        <w:numPr>
          <w:ilvl w:val="0"/>
          <w:numId w:val="2"/>
        </w:numPr>
        <w:rPr>
          <w:rFonts w:ascii="Arial" w:hAnsi="Arial" w:cs="Arial"/>
          <w:sz w:val="22"/>
          <w:szCs w:val="22"/>
        </w:rPr>
      </w:pPr>
      <w:r>
        <w:rPr>
          <w:rFonts w:ascii="Arial" w:hAnsi="Arial" w:cs="Arial"/>
          <w:sz w:val="22"/>
          <w:szCs w:val="22"/>
        </w:rPr>
        <w:t>lo schema di bilancio per missioni e programma previsto dall’allegato n. 9 al decreto legislativo n 118 del 2011, integrato e corretto dal decreto legislativo n. 126 del 2014, ai fini conoscitivi;</w:t>
      </w:r>
    </w:p>
    <w:p w:rsidR="00457C6B" w:rsidRDefault="00457C6B">
      <w:pPr>
        <w:ind w:left="360"/>
        <w:rPr>
          <w:rFonts w:ascii="Arial" w:hAnsi="Arial" w:cs="Arial"/>
          <w:sz w:val="22"/>
          <w:szCs w:val="22"/>
        </w:rPr>
      </w:pPr>
    </w:p>
    <w:p w:rsidR="00457C6B" w:rsidRDefault="0047703E">
      <w:pPr>
        <w:numPr>
          <w:ilvl w:val="0"/>
          <w:numId w:val="2"/>
        </w:numPr>
        <w:tabs>
          <w:tab w:val="left" w:pos="786"/>
          <w:tab w:val="left" w:pos="851"/>
        </w:tabs>
        <w:spacing w:after="120"/>
        <w:rPr>
          <w:rFonts w:ascii="Arial" w:hAnsi="Arial" w:cs="Arial"/>
          <w:sz w:val="22"/>
          <w:szCs w:val="22"/>
        </w:rPr>
      </w:pPr>
      <w:r>
        <w:rPr>
          <w:rFonts w:ascii="Arial" w:hAnsi="Arial" w:cs="Arial"/>
          <w:sz w:val="22"/>
          <w:szCs w:val="22"/>
        </w:rPr>
        <w:t xml:space="preserve">rendiconto dell’esercizio 2013 </w:t>
      </w:r>
      <w:r>
        <w:rPr>
          <w:rFonts w:ascii="Arial" w:hAnsi="Arial" w:cs="Arial"/>
          <w:color w:val="0000FF"/>
          <w:sz w:val="22"/>
          <w:szCs w:val="22"/>
        </w:rPr>
        <w:t>(o rendiconto 2014 se approvato)</w:t>
      </w:r>
      <w:r>
        <w:rPr>
          <w:rFonts w:ascii="Arial" w:hAnsi="Arial" w:cs="Arial"/>
          <w:color w:val="4F81BD"/>
          <w:sz w:val="22"/>
          <w:szCs w:val="22"/>
        </w:rPr>
        <w:t>;</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le risultanze dei rendiconti o dei conti consolidati dell’esercizio 2013 dell’Unione dei Comuni di ______________ , delle aziende speciali, consorzi, istituzioni e società di capitale costituite per l’esercizio di servizi pubblici; </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 xml:space="preserve">il programma triennale dei lavori pubblici e l’elenco annuale dei lavori pubblici di cui all’articolo 128 del </w:t>
      </w:r>
      <w:proofErr w:type="spellStart"/>
      <w:r>
        <w:rPr>
          <w:rFonts w:cs="Arial"/>
          <w:b w:val="0"/>
          <w:i w:val="0"/>
          <w:sz w:val="22"/>
          <w:szCs w:val="22"/>
        </w:rPr>
        <w:t>D.Lgs.</w:t>
      </w:r>
      <w:proofErr w:type="spellEnd"/>
      <w:r>
        <w:rPr>
          <w:rFonts w:cs="Arial"/>
          <w:b w:val="0"/>
          <w:i w:val="0"/>
          <w:sz w:val="22"/>
          <w:szCs w:val="22"/>
        </w:rPr>
        <w:t xml:space="preserve"> 163/2006;</w:t>
      </w:r>
    </w:p>
    <w:p w:rsidR="00457C6B" w:rsidRDefault="0047703E">
      <w:pPr>
        <w:pStyle w:val="Corpodeltesto"/>
        <w:numPr>
          <w:ilvl w:val="0"/>
          <w:numId w:val="2"/>
        </w:numPr>
        <w:rPr>
          <w:rFonts w:cs="Arial"/>
          <w:sz w:val="22"/>
          <w:szCs w:val="22"/>
        </w:rPr>
      </w:pPr>
      <w:r>
        <w:rPr>
          <w:rFonts w:cs="Arial"/>
          <w:sz w:val="22"/>
          <w:szCs w:val="22"/>
        </w:rPr>
        <w:t xml:space="preserve">la delibera di approvazione della programmazione triennale del fabbisogno di personale (art. 91 </w:t>
      </w:r>
      <w:proofErr w:type="spellStart"/>
      <w:r>
        <w:rPr>
          <w:rFonts w:cs="Arial"/>
          <w:sz w:val="22"/>
          <w:szCs w:val="22"/>
        </w:rPr>
        <w:t>D.Lgs.</w:t>
      </w:r>
      <w:proofErr w:type="spellEnd"/>
      <w:r>
        <w:rPr>
          <w:rFonts w:cs="Arial"/>
          <w:sz w:val="22"/>
          <w:szCs w:val="22"/>
        </w:rPr>
        <w:t xml:space="preserve"> 267/2000 - TUEL -, art. 35, comma 4 </w:t>
      </w:r>
      <w:proofErr w:type="spellStart"/>
      <w:r>
        <w:rPr>
          <w:rFonts w:cs="Arial"/>
          <w:sz w:val="22"/>
          <w:szCs w:val="22"/>
        </w:rPr>
        <w:t>D.Lgs.</w:t>
      </w:r>
      <w:proofErr w:type="spellEnd"/>
      <w:r>
        <w:rPr>
          <w:rFonts w:cs="Arial"/>
          <w:sz w:val="22"/>
          <w:szCs w:val="22"/>
        </w:rPr>
        <w:t xml:space="preserve"> 165/2001 e art. 19, comma 8, Legge 448/2001);</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la delibera della G.C. di destinazione della parte vincolata dei proventi per sanzioni alle norme del codice della strada;</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la delibera sulla verifica della quantità e qualità di aree e fabbricati da destinare a residenza, attività produttive e terziario e determinazione del prezzo di cessione per ciascun tipo di area o di fabbricato;</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la delibera </w:t>
      </w:r>
      <w:r>
        <w:rPr>
          <w:rFonts w:ascii="Arial" w:hAnsi="Arial" w:cs="Arial"/>
          <w:color w:val="0000FF"/>
          <w:sz w:val="22"/>
          <w:szCs w:val="22"/>
        </w:rPr>
        <w:t>(o proposta di delibera)</w:t>
      </w:r>
      <w:r>
        <w:rPr>
          <w:rFonts w:ascii="Arial" w:hAnsi="Arial" w:cs="Arial"/>
          <w:sz w:val="22"/>
          <w:szCs w:val="22"/>
        </w:rPr>
        <w:t xml:space="preserve"> di conferma o di variazione in aumento o in diminuzione dell’addizionale comunale Irpef;</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la delibera del Consiglio </w:t>
      </w:r>
      <w:r>
        <w:rPr>
          <w:rFonts w:ascii="Arial" w:hAnsi="Arial" w:cs="Arial"/>
          <w:color w:val="0000FF"/>
          <w:sz w:val="22"/>
          <w:szCs w:val="22"/>
        </w:rPr>
        <w:t>(o proposta di delibera)</w:t>
      </w:r>
      <w:r>
        <w:rPr>
          <w:rFonts w:ascii="Arial" w:hAnsi="Arial" w:cs="Arial"/>
          <w:sz w:val="22"/>
          <w:szCs w:val="22"/>
        </w:rPr>
        <w:t xml:space="preserve"> di aumento o diminuzione delle aliquote base dell’</w:t>
      </w:r>
      <w:proofErr w:type="spellStart"/>
      <w:r>
        <w:rPr>
          <w:rFonts w:ascii="Arial" w:hAnsi="Arial" w:cs="Arial"/>
          <w:sz w:val="22"/>
          <w:szCs w:val="22"/>
        </w:rPr>
        <w:t>I.M.U.</w:t>
      </w:r>
      <w:proofErr w:type="spellEnd"/>
      <w:r>
        <w:rPr>
          <w:rFonts w:ascii="Arial" w:hAnsi="Arial" w:cs="Arial"/>
          <w:sz w:val="22"/>
          <w:szCs w:val="22"/>
        </w:rPr>
        <w:t xml:space="preserve"> come consentito dai commi da 6 a 10 dell’art.13 del D.L. 6/12/2011 n. 201;</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la delibera del Consiglio </w:t>
      </w:r>
      <w:r>
        <w:rPr>
          <w:rFonts w:ascii="Arial" w:hAnsi="Arial" w:cs="Arial"/>
          <w:color w:val="0000FF"/>
          <w:sz w:val="22"/>
          <w:szCs w:val="22"/>
        </w:rPr>
        <w:t xml:space="preserve">(o proposta di delibera) </w:t>
      </w:r>
      <w:r>
        <w:rPr>
          <w:rFonts w:ascii="Arial" w:hAnsi="Arial" w:cs="Arial"/>
          <w:sz w:val="22"/>
          <w:szCs w:val="22"/>
        </w:rPr>
        <w:t xml:space="preserve">di aumento o diminuzione dell’aliquota base della TASI come consentito dall’art. </w:t>
      </w:r>
      <w:bookmarkStart w:id="2" w:name="OLE_LINK2"/>
      <w:bookmarkEnd w:id="2"/>
      <w:r>
        <w:rPr>
          <w:rFonts w:ascii="Arial" w:hAnsi="Arial" w:cs="Arial"/>
          <w:sz w:val="22"/>
          <w:szCs w:val="22"/>
        </w:rPr>
        <w:t xml:space="preserve">1, comma 676 della Legge 147/2013; </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la delibera del Consiglio </w:t>
      </w:r>
      <w:r>
        <w:rPr>
          <w:rFonts w:ascii="Arial" w:hAnsi="Arial" w:cs="Arial"/>
          <w:color w:val="0000FF"/>
          <w:sz w:val="22"/>
          <w:szCs w:val="22"/>
        </w:rPr>
        <w:t xml:space="preserve">(o proposta di delibera) </w:t>
      </w:r>
      <w:r>
        <w:rPr>
          <w:rFonts w:ascii="Arial" w:hAnsi="Arial" w:cs="Arial"/>
          <w:sz w:val="22"/>
          <w:szCs w:val="22"/>
        </w:rPr>
        <w:t>di commisurazione della tariffa TARI sulla base dei commi da 641 a 668 dell’art. 1 della Legge 147/2013;</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le deliberazioni </w:t>
      </w:r>
      <w:r>
        <w:rPr>
          <w:rFonts w:ascii="Arial" w:hAnsi="Arial" w:cs="Arial"/>
          <w:color w:val="0000FF"/>
          <w:sz w:val="22"/>
          <w:szCs w:val="22"/>
        </w:rPr>
        <w:t>(e/o le proposte di deliberazione)</w:t>
      </w:r>
      <w:r>
        <w:rPr>
          <w:rFonts w:ascii="Arial" w:hAnsi="Arial" w:cs="Arial"/>
          <w:sz w:val="22"/>
          <w:szCs w:val="22"/>
        </w:rPr>
        <w:t xml:space="preserve"> con le quali sono determinati, per l’esercizio 2015, le tariffe, le aliquote di imposta e le eventuali maggiori detrazioni, le variazioni dei limiti di reddito per i tributi locali e per i servizi locali, nonché, per i servizi a domanda individuale, i tassi di copertura in percentuale del costo di gestione dei servizi stessi;</w:t>
      </w:r>
    </w:p>
    <w:p w:rsidR="00457C6B" w:rsidRDefault="0047703E">
      <w:pPr>
        <w:numPr>
          <w:ilvl w:val="0"/>
          <w:numId w:val="2"/>
        </w:numPr>
        <w:tabs>
          <w:tab w:val="left" w:pos="786"/>
          <w:tab w:val="left" w:pos="851"/>
        </w:tabs>
        <w:spacing w:after="120"/>
        <w:jc w:val="both"/>
        <w:rPr>
          <w:rFonts w:ascii="Arial" w:hAnsi="Arial" w:cs="Arial"/>
          <w:sz w:val="22"/>
          <w:szCs w:val="22"/>
        </w:rPr>
      </w:pPr>
      <w:r>
        <w:rPr>
          <w:rFonts w:ascii="Arial" w:hAnsi="Arial" w:cs="Arial"/>
          <w:sz w:val="22"/>
          <w:szCs w:val="22"/>
        </w:rPr>
        <w:t xml:space="preserve">la tabella relativa ai parametri di riscontro della situazione di </w:t>
      </w:r>
      <w:proofErr w:type="spellStart"/>
      <w:r>
        <w:rPr>
          <w:rFonts w:ascii="Arial" w:hAnsi="Arial" w:cs="Arial"/>
          <w:sz w:val="22"/>
          <w:szCs w:val="22"/>
        </w:rPr>
        <w:t>deficitarietà</w:t>
      </w:r>
      <w:proofErr w:type="spellEnd"/>
      <w:r>
        <w:rPr>
          <w:rFonts w:ascii="Arial" w:hAnsi="Arial" w:cs="Arial"/>
          <w:sz w:val="22"/>
          <w:szCs w:val="22"/>
        </w:rPr>
        <w:t xml:space="preserve"> strutturale (decreto </w:t>
      </w:r>
      <w:proofErr w:type="spellStart"/>
      <w:r>
        <w:rPr>
          <w:rFonts w:ascii="Arial" w:hAnsi="Arial" w:cs="Arial"/>
          <w:sz w:val="22"/>
          <w:szCs w:val="22"/>
        </w:rPr>
        <w:t>Min-Interno</w:t>
      </w:r>
      <w:proofErr w:type="spellEnd"/>
      <w:r>
        <w:rPr>
          <w:rFonts w:ascii="Arial" w:hAnsi="Arial" w:cs="Arial"/>
          <w:sz w:val="22"/>
          <w:szCs w:val="22"/>
        </w:rPr>
        <w:t xml:space="preserve"> 18/2/2013);</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w:t>
      </w:r>
      <w:r>
        <w:rPr>
          <w:rFonts w:cs="Arial"/>
          <w:b w:val="0"/>
          <w:i w:val="0"/>
          <w:color w:val="0000FF"/>
          <w:sz w:val="22"/>
          <w:szCs w:val="22"/>
        </w:rPr>
        <w:t>per gli enti soggetti al patto di stabilità</w:t>
      </w:r>
      <w:r>
        <w:rPr>
          <w:rFonts w:cs="Arial"/>
          <w:color w:val="548DD4"/>
          <w:sz w:val="22"/>
          <w:szCs w:val="22"/>
        </w:rPr>
        <w:t xml:space="preserve"> </w:t>
      </w:r>
      <w:r>
        <w:rPr>
          <w:rFonts w:cs="Arial"/>
          <w:b w:val="0"/>
          <w:sz w:val="22"/>
          <w:szCs w:val="22"/>
        </w:rPr>
        <w:t xml:space="preserve">) </w:t>
      </w:r>
      <w:r>
        <w:rPr>
          <w:rFonts w:cs="Arial"/>
          <w:b w:val="0"/>
          <w:i w:val="0"/>
          <w:sz w:val="22"/>
          <w:szCs w:val="22"/>
        </w:rPr>
        <w:t>prospetto contenente le previsioni annuali e pluriennali di competenza mista degli aggregati rilevanti ai fini del patto di stabilità interno;</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lastRenderedPageBreak/>
        <w:t>nota degli oneri stimati derivanti da contratti relativi a strumenti finanziari derivati o da contratti di finanziamento che includono una componente derivata (art.62, comma 8, Legge 133/2008);</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piano delle alienazioni e valorizzazioni immobiliari (art.58, comma 1 del D.L. 112/2008);</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piano triennale di contenimento delle spese di cui all’art. 2 commi 594 e 599 Legge 244/2007;</w:t>
      </w:r>
    </w:p>
    <w:p w:rsidR="00457C6B" w:rsidRDefault="0047703E">
      <w:pPr>
        <w:pStyle w:val="BodyText21"/>
        <w:numPr>
          <w:ilvl w:val="0"/>
          <w:numId w:val="2"/>
        </w:numPr>
        <w:tabs>
          <w:tab w:val="left" w:pos="786"/>
        </w:tabs>
        <w:rPr>
          <w:rFonts w:cs="Arial"/>
          <w:b w:val="0"/>
          <w:sz w:val="22"/>
          <w:szCs w:val="22"/>
        </w:rPr>
      </w:pPr>
      <w:r>
        <w:rPr>
          <w:rFonts w:cs="Arial"/>
          <w:b w:val="0"/>
          <w:i w:val="0"/>
          <w:sz w:val="22"/>
          <w:szCs w:val="22"/>
        </w:rPr>
        <w:t>programma delle collaborazioni autonome di cui all’art. 46, comma 2, Legge 133/2008</w:t>
      </w:r>
      <w:r>
        <w:rPr>
          <w:rFonts w:cs="Arial"/>
          <w:b w:val="0"/>
          <w:sz w:val="22"/>
          <w:szCs w:val="22"/>
        </w:rPr>
        <w:t xml:space="preserve"> </w:t>
      </w:r>
      <w:r>
        <w:rPr>
          <w:rFonts w:cs="Arial"/>
          <w:b w:val="0"/>
          <w:color w:val="0000FF"/>
          <w:sz w:val="22"/>
          <w:szCs w:val="22"/>
        </w:rPr>
        <w:t>(</w:t>
      </w:r>
      <w:r>
        <w:rPr>
          <w:rFonts w:cs="Arial"/>
          <w:b w:val="0"/>
          <w:i w:val="0"/>
          <w:color w:val="0000FF"/>
          <w:sz w:val="22"/>
          <w:szCs w:val="22"/>
        </w:rPr>
        <w:t>eventuale)</w:t>
      </w:r>
      <w:r>
        <w:rPr>
          <w:rFonts w:cs="Arial"/>
          <w:b w:val="0"/>
          <w:color w:val="0000FF"/>
          <w:sz w:val="22"/>
          <w:szCs w:val="22"/>
        </w:rPr>
        <w:t>;</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limite massimo delle spese per incarichi di collaborazione (art. 46, comma 3, Legge 133/2008);</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limite massimo delle spese per personale a tempo determinato, con convenzione e con collaborazioni coordinate e continuative (art.9, comma 28 del D.L.78/2010, come modificato dall’art. 4, comma 102 della Legge 12/11/2011, n.183);</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i limiti massimi di spesa disposti dagli art.6 e 9 del D.L.78/2010;</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 xml:space="preserve">i limiti massimi di spesa disposti dall’art. 1, commi 138, 141, 143, 146 della Legge 20/12/2012 n. 228; </w:t>
      </w:r>
    </w:p>
    <w:p w:rsidR="00457C6B" w:rsidRDefault="0047703E">
      <w:pPr>
        <w:pStyle w:val="BodyText21"/>
        <w:numPr>
          <w:ilvl w:val="0"/>
          <w:numId w:val="2"/>
        </w:numPr>
        <w:tabs>
          <w:tab w:val="left" w:pos="786"/>
        </w:tabs>
        <w:rPr>
          <w:rFonts w:cs="Arial"/>
          <w:b w:val="0"/>
          <w:i w:val="0"/>
          <w:sz w:val="22"/>
          <w:szCs w:val="22"/>
        </w:rPr>
      </w:pPr>
      <w:r>
        <w:rPr>
          <w:rFonts w:cs="Arial"/>
          <w:b w:val="0"/>
          <w:i w:val="0"/>
          <w:sz w:val="22"/>
          <w:szCs w:val="22"/>
        </w:rPr>
        <w:t>i limiti massimi di spesa disposti dai commi da 8 a 13 del d.l. 66/2014;</w:t>
      </w:r>
    </w:p>
    <w:p w:rsidR="00457C6B" w:rsidRDefault="0047703E">
      <w:pPr>
        <w:pStyle w:val="Corpodeltesto"/>
        <w:spacing w:before="240"/>
        <w:rPr>
          <w:rFonts w:cs="Arial"/>
          <w:sz w:val="22"/>
          <w:szCs w:val="22"/>
        </w:rPr>
      </w:pPr>
      <w:r>
        <w:rPr>
          <w:rFonts w:cs="Arial"/>
          <w:sz w:val="22"/>
          <w:szCs w:val="22"/>
        </w:rPr>
        <w:t xml:space="preserve">  e i seguenti documenti messi a disposizione:</w:t>
      </w:r>
    </w:p>
    <w:p w:rsidR="00457C6B" w:rsidRDefault="0047703E">
      <w:pPr>
        <w:numPr>
          <w:ilvl w:val="0"/>
          <w:numId w:val="3"/>
        </w:numPr>
        <w:spacing w:after="120"/>
        <w:jc w:val="both"/>
        <w:rPr>
          <w:rFonts w:ascii="Arial" w:hAnsi="Arial" w:cs="Arial"/>
          <w:sz w:val="22"/>
          <w:szCs w:val="22"/>
        </w:rPr>
      </w:pPr>
      <w:r>
        <w:rPr>
          <w:rFonts w:ascii="Arial" w:hAnsi="Arial" w:cs="Arial"/>
          <w:sz w:val="22"/>
          <w:szCs w:val="22"/>
        </w:rPr>
        <w:t>i documenti e prospetti previsti dallo statuto e dal regolamento di contabilità;</w:t>
      </w:r>
    </w:p>
    <w:p w:rsidR="00457C6B" w:rsidRDefault="0047703E">
      <w:pPr>
        <w:numPr>
          <w:ilvl w:val="0"/>
          <w:numId w:val="3"/>
        </w:numPr>
        <w:spacing w:after="120"/>
        <w:jc w:val="both"/>
        <w:rPr>
          <w:rFonts w:ascii="Arial" w:hAnsi="Arial" w:cs="Arial"/>
          <w:sz w:val="22"/>
          <w:szCs w:val="22"/>
        </w:rPr>
      </w:pPr>
      <w:r>
        <w:rPr>
          <w:rFonts w:ascii="Arial" w:hAnsi="Arial" w:cs="Arial"/>
          <w:sz w:val="22"/>
          <w:szCs w:val="22"/>
        </w:rPr>
        <w:t>elenco delle entrate e delle spese con carattere di eccezionalità;</w:t>
      </w:r>
    </w:p>
    <w:p w:rsidR="00457C6B" w:rsidRDefault="0047703E">
      <w:pPr>
        <w:numPr>
          <w:ilvl w:val="0"/>
          <w:numId w:val="3"/>
        </w:numPr>
        <w:spacing w:after="120"/>
        <w:jc w:val="both"/>
        <w:rPr>
          <w:rFonts w:ascii="Arial" w:hAnsi="Arial" w:cs="Arial"/>
          <w:sz w:val="22"/>
          <w:szCs w:val="22"/>
        </w:rPr>
      </w:pPr>
      <w:r>
        <w:rPr>
          <w:rFonts w:ascii="Arial" w:hAnsi="Arial" w:cs="Arial"/>
          <w:sz w:val="22"/>
          <w:szCs w:val="22"/>
        </w:rPr>
        <w:t xml:space="preserve">quadro analitico delle entrate e delle spese previste </w:t>
      </w:r>
      <w:r>
        <w:rPr>
          <w:rFonts w:ascii="Arial" w:hAnsi="Arial" w:cs="Arial"/>
          <w:color w:val="0000FF"/>
          <w:sz w:val="22"/>
          <w:szCs w:val="22"/>
        </w:rPr>
        <w:t>(o il conto economico preventivo)</w:t>
      </w:r>
      <w:r>
        <w:rPr>
          <w:rFonts w:ascii="Arial" w:hAnsi="Arial" w:cs="Arial"/>
          <w:sz w:val="22"/>
          <w:szCs w:val="22"/>
        </w:rPr>
        <w:t xml:space="preserve"> relativamente ai servizi con dimostrazione della percentuale di copertura (pubblici a domanda e produttivi);</w:t>
      </w:r>
    </w:p>
    <w:p w:rsidR="00457C6B" w:rsidRDefault="0047703E">
      <w:pPr>
        <w:numPr>
          <w:ilvl w:val="0"/>
          <w:numId w:val="3"/>
        </w:numPr>
        <w:spacing w:after="120"/>
        <w:jc w:val="both"/>
        <w:rPr>
          <w:rFonts w:ascii="Arial" w:hAnsi="Arial" w:cs="Arial"/>
          <w:sz w:val="22"/>
          <w:szCs w:val="22"/>
        </w:rPr>
      </w:pPr>
      <w:r>
        <w:rPr>
          <w:rFonts w:ascii="Arial" w:hAnsi="Arial" w:cs="Arial"/>
          <w:sz w:val="22"/>
          <w:szCs w:val="22"/>
        </w:rPr>
        <w:t>prospetto analitico delle spese di personale previste in bilancio come individuate dal comma 557 (o 562 per i Comuni non soggetti al patto di stabilità) dell’art.1 della Legge 296/2006 ;</w:t>
      </w:r>
    </w:p>
    <w:p w:rsidR="00457C6B" w:rsidRDefault="0047703E">
      <w:pPr>
        <w:numPr>
          <w:ilvl w:val="0"/>
          <w:numId w:val="3"/>
        </w:numPr>
        <w:spacing w:after="120"/>
        <w:jc w:val="both"/>
        <w:rPr>
          <w:rFonts w:ascii="Arial" w:hAnsi="Arial" w:cs="Arial"/>
          <w:sz w:val="22"/>
          <w:szCs w:val="22"/>
        </w:rPr>
      </w:pPr>
      <w:r>
        <w:rPr>
          <w:rFonts w:ascii="Arial" w:hAnsi="Arial" w:cs="Arial"/>
          <w:sz w:val="22"/>
          <w:szCs w:val="22"/>
        </w:rPr>
        <w:t>prospetto delle spese finanziate con i proventi derivanti dalle sanzioni per violazione del codice della strada;</w:t>
      </w:r>
    </w:p>
    <w:p w:rsidR="00457C6B" w:rsidRDefault="00824CF3">
      <w:pPr>
        <w:numPr>
          <w:ilvl w:val="0"/>
          <w:numId w:val="3"/>
        </w:numPr>
        <w:spacing w:after="120"/>
        <w:jc w:val="both"/>
        <w:rPr>
          <w:rFonts w:ascii="Arial" w:hAnsi="Arial" w:cs="Arial"/>
          <w:b/>
          <w:color w:val="0000FF"/>
          <w:sz w:val="20"/>
          <w:szCs w:val="20"/>
        </w:rPr>
      </w:pPr>
      <w:hyperlink r:id="rId8" w:history="1">
        <w:r w:rsidR="0047703E">
          <w:rPr>
            <w:rStyle w:val="Collegamentoipertestuale"/>
            <w:rFonts w:ascii="Arial" w:hAnsi="Arial" w:cs="Arial"/>
            <w:color w:val="auto"/>
            <w:sz w:val="22"/>
            <w:szCs w:val="22"/>
            <w:u w:val="none"/>
          </w:rPr>
          <w:t>dettaglio dei trasferimenti erariali</w:t>
        </w:r>
      </w:hyperlink>
      <w:r w:rsidR="0047703E">
        <w:rPr>
          <w:rFonts w:ascii="Arial" w:hAnsi="Arial" w:cs="Arial"/>
          <w:sz w:val="22"/>
          <w:szCs w:val="22"/>
        </w:rPr>
        <w:t xml:space="preserve"> </w:t>
      </w:r>
      <w:r w:rsidR="0047703E">
        <w:rPr>
          <w:rFonts w:ascii="Arial" w:hAnsi="Arial" w:cs="Arial"/>
          <w:color w:val="0000FF"/>
          <w:sz w:val="20"/>
          <w:szCs w:val="20"/>
        </w:rPr>
        <w:t>(in assenza di comunicazione del Ministero, il dettaglio dovrà indicare le modalità di calcolo utilizzate per la determinazione dei trasferimenti stessi iscritti in bilancio);</w:t>
      </w:r>
    </w:p>
    <w:p w:rsidR="00457C6B" w:rsidRDefault="0047703E">
      <w:pPr>
        <w:numPr>
          <w:ilvl w:val="0"/>
          <w:numId w:val="4"/>
        </w:numPr>
        <w:spacing w:after="120"/>
        <w:jc w:val="both"/>
        <w:rPr>
          <w:rFonts w:ascii="Arial" w:hAnsi="Arial" w:cs="Arial"/>
          <w:sz w:val="22"/>
          <w:szCs w:val="22"/>
        </w:rPr>
      </w:pPr>
      <w:r>
        <w:rPr>
          <w:rFonts w:ascii="Arial" w:hAnsi="Arial" w:cs="Arial"/>
          <w:sz w:val="22"/>
          <w:szCs w:val="22"/>
        </w:rPr>
        <w:t xml:space="preserve">prospetto dimostrativo dei mutui e prestiti in ammortamento, con evidenza delle quote capitale e delle quote interessi </w:t>
      </w:r>
      <w:r>
        <w:rPr>
          <w:rFonts w:ascii="Arial" w:hAnsi="Arial" w:cs="Arial"/>
          <w:color w:val="0000FF"/>
          <w:sz w:val="20"/>
          <w:szCs w:val="20"/>
        </w:rPr>
        <w:t>(eventuale</w:t>
      </w:r>
      <w:r>
        <w:rPr>
          <w:rFonts w:ascii="Arial" w:hAnsi="Arial" w:cs="Arial"/>
          <w:i/>
          <w:sz w:val="22"/>
          <w:szCs w:val="22"/>
        </w:rPr>
        <w:t>)</w:t>
      </w:r>
      <w:r>
        <w:rPr>
          <w:rFonts w:ascii="Arial" w:hAnsi="Arial" w:cs="Arial"/>
          <w:sz w:val="22"/>
          <w:szCs w:val="22"/>
        </w:rPr>
        <w:t>;</w:t>
      </w:r>
    </w:p>
    <w:p w:rsidR="00457C6B" w:rsidRDefault="0047703E">
      <w:pPr>
        <w:numPr>
          <w:ilvl w:val="0"/>
          <w:numId w:val="4"/>
        </w:numPr>
        <w:spacing w:after="120"/>
        <w:jc w:val="both"/>
        <w:rPr>
          <w:rFonts w:ascii="Arial" w:hAnsi="Arial" w:cs="Arial"/>
          <w:sz w:val="22"/>
          <w:szCs w:val="22"/>
        </w:rPr>
      </w:pPr>
      <w:r>
        <w:rPr>
          <w:rFonts w:ascii="Arial" w:hAnsi="Arial" w:cs="Arial"/>
          <w:sz w:val="22"/>
          <w:szCs w:val="22"/>
        </w:rPr>
        <w:t>elenco delle spese da finanziare mediante mutui e prestiti da assumere;</w:t>
      </w:r>
    </w:p>
    <w:p w:rsidR="00457C6B" w:rsidRDefault="0047703E">
      <w:pPr>
        <w:numPr>
          <w:ilvl w:val="0"/>
          <w:numId w:val="4"/>
        </w:numPr>
        <w:spacing w:after="120"/>
        <w:jc w:val="both"/>
        <w:rPr>
          <w:rFonts w:ascii="Arial" w:hAnsi="Arial" w:cs="Arial"/>
          <w:i/>
          <w:sz w:val="20"/>
          <w:szCs w:val="20"/>
        </w:rPr>
      </w:pPr>
      <w:r>
        <w:rPr>
          <w:rFonts w:ascii="Arial" w:hAnsi="Arial" w:cs="Arial"/>
          <w:sz w:val="22"/>
          <w:szCs w:val="22"/>
        </w:rPr>
        <w:t>il bilancio d’esercizio 2013</w:t>
      </w:r>
      <w:r>
        <w:rPr>
          <w:rFonts w:ascii="Arial" w:hAnsi="Arial" w:cs="Arial"/>
          <w:color w:val="0000FF"/>
          <w:sz w:val="22"/>
          <w:szCs w:val="22"/>
        </w:rPr>
        <w:t xml:space="preserve"> (o 2014)</w:t>
      </w:r>
      <w:r>
        <w:rPr>
          <w:rFonts w:ascii="Arial" w:hAnsi="Arial" w:cs="Arial"/>
          <w:color w:val="8064A2"/>
          <w:sz w:val="22"/>
          <w:szCs w:val="22"/>
        </w:rPr>
        <w:t xml:space="preserve"> </w:t>
      </w:r>
      <w:r>
        <w:rPr>
          <w:rFonts w:ascii="Arial" w:hAnsi="Arial" w:cs="Arial"/>
          <w:sz w:val="22"/>
          <w:szCs w:val="22"/>
        </w:rPr>
        <w:t xml:space="preserve">degli organismi totalmente partecipati o sottoposti al controllo dell’ente </w:t>
      </w:r>
      <w:r>
        <w:rPr>
          <w:rFonts w:ascii="Arial" w:hAnsi="Arial" w:cs="Arial"/>
          <w:color w:val="0000FF"/>
          <w:sz w:val="20"/>
          <w:szCs w:val="20"/>
        </w:rPr>
        <w:t>(o relazione dell’organo amministrativo sul risultato economico conseguibile nell’esercizio 2013) (eventuale);</w:t>
      </w:r>
    </w:p>
    <w:p w:rsidR="00457C6B" w:rsidRDefault="00457C6B">
      <w:pPr>
        <w:ind w:left="284"/>
        <w:jc w:val="both"/>
        <w:rPr>
          <w:rFonts w:ascii="Arial" w:hAnsi="Arial" w:cs="Arial"/>
          <w:sz w:val="22"/>
          <w:szCs w:val="22"/>
        </w:rPr>
      </w:pPr>
    </w:p>
    <w:p w:rsidR="00457C6B" w:rsidRDefault="0047703E">
      <w:pPr>
        <w:numPr>
          <w:ilvl w:val="0"/>
          <w:numId w:val="5"/>
        </w:numPr>
        <w:tabs>
          <w:tab w:val="left" w:pos="360"/>
          <w:tab w:val="left" w:pos="426"/>
        </w:tabs>
        <w:spacing w:after="120"/>
        <w:jc w:val="both"/>
        <w:rPr>
          <w:rFonts w:ascii="Arial" w:hAnsi="Arial" w:cs="Arial"/>
          <w:sz w:val="22"/>
          <w:szCs w:val="22"/>
        </w:rPr>
      </w:pPr>
      <w:r>
        <w:rPr>
          <w:rFonts w:ascii="Arial" w:hAnsi="Arial" w:cs="Arial"/>
          <w:sz w:val="22"/>
          <w:szCs w:val="22"/>
        </w:rPr>
        <w:t>viste le disposizioni di Legge che regolano la finanza locale, in particolare il TUEL;</w:t>
      </w:r>
    </w:p>
    <w:p w:rsidR="00457C6B" w:rsidRDefault="0047703E">
      <w:pPr>
        <w:numPr>
          <w:ilvl w:val="0"/>
          <w:numId w:val="5"/>
        </w:numPr>
        <w:tabs>
          <w:tab w:val="left" w:pos="360"/>
          <w:tab w:val="left" w:pos="426"/>
        </w:tabs>
        <w:spacing w:after="120"/>
        <w:jc w:val="both"/>
        <w:rPr>
          <w:rFonts w:ascii="Arial" w:hAnsi="Arial" w:cs="Arial"/>
          <w:sz w:val="22"/>
          <w:szCs w:val="22"/>
        </w:rPr>
      </w:pPr>
      <w:r>
        <w:rPr>
          <w:rFonts w:ascii="Arial" w:hAnsi="Arial" w:cs="Arial"/>
          <w:sz w:val="22"/>
          <w:szCs w:val="22"/>
        </w:rPr>
        <w:t>visto lo statuto dell’ente, con particolare riferimento alle funzioni attribuite all’organo di revisione;</w:t>
      </w:r>
    </w:p>
    <w:p w:rsidR="00457C6B" w:rsidRDefault="0047703E">
      <w:pPr>
        <w:numPr>
          <w:ilvl w:val="0"/>
          <w:numId w:val="5"/>
        </w:numPr>
        <w:tabs>
          <w:tab w:val="left" w:pos="360"/>
          <w:tab w:val="left" w:pos="426"/>
        </w:tabs>
        <w:spacing w:after="120"/>
        <w:jc w:val="both"/>
        <w:rPr>
          <w:rFonts w:ascii="Arial" w:hAnsi="Arial" w:cs="Arial"/>
          <w:sz w:val="22"/>
          <w:szCs w:val="22"/>
        </w:rPr>
      </w:pPr>
      <w:r>
        <w:rPr>
          <w:rFonts w:ascii="Arial" w:hAnsi="Arial" w:cs="Arial"/>
          <w:sz w:val="22"/>
          <w:szCs w:val="22"/>
        </w:rPr>
        <w:t>visto il regolamento di contabilità;</w:t>
      </w:r>
    </w:p>
    <w:p w:rsidR="00457C6B" w:rsidRDefault="0047703E">
      <w:pPr>
        <w:numPr>
          <w:ilvl w:val="0"/>
          <w:numId w:val="5"/>
        </w:numPr>
        <w:tabs>
          <w:tab w:val="left" w:pos="360"/>
          <w:tab w:val="left" w:pos="426"/>
        </w:tabs>
        <w:spacing w:after="120"/>
        <w:jc w:val="both"/>
        <w:rPr>
          <w:rFonts w:ascii="Arial" w:hAnsi="Arial" w:cs="Arial"/>
          <w:sz w:val="22"/>
          <w:szCs w:val="22"/>
        </w:rPr>
      </w:pPr>
      <w:r>
        <w:rPr>
          <w:rFonts w:ascii="Arial" w:hAnsi="Arial" w:cs="Arial"/>
          <w:sz w:val="22"/>
          <w:szCs w:val="22"/>
        </w:rPr>
        <w:t>visti i regolamenti relativi ai tributi comunali;</w:t>
      </w:r>
    </w:p>
    <w:p w:rsidR="00457C6B" w:rsidRDefault="0047703E">
      <w:pPr>
        <w:numPr>
          <w:ilvl w:val="0"/>
          <w:numId w:val="5"/>
        </w:numPr>
        <w:tabs>
          <w:tab w:val="left" w:pos="360"/>
          <w:tab w:val="left" w:pos="426"/>
        </w:tabs>
        <w:spacing w:after="120"/>
        <w:jc w:val="both"/>
        <w:rPr>
          <w:rFonts w:ascii="Arial" w:hAnsi="Arial" w:cs="Arial"/>
          <w:sz w:val="22"/>
          <w:szCs w:val="22"/>
        </w:rPr>
      </w:pPr>
      <w:r>
        <w:rPr>
          <w:rFonts w:ascii="Arial" w:hAnsi="Arial" w:cs="Arial"/>
          <w:sz w:val="22"/>
          <w:szCs w:val="22"/>
        </w:rPr>
        <w:lastRenderedPageBreak/>
        <w:t xml:space="preserve">visto il parere espresso dal responsabile del servizio finanziario in data </w:t>
      </w:r>
      <w:proofErr w:type="spellStart"/>
      <w:r>
        <w:rPr>
          <w:rFonts w:ascii="Arial" w:hAnsi="Arial" w:cs="Arial"/>
          <w:sz w:val="22"/>
          <w:szCs w:val="22"/>
        </w:rPr>
        <w:t>……</w:t>
      </w:r>
      <w:proofErr w:type="spellEnd"/>
      <w:r>
        <w:rPr>
          <w:rFonts w:ascii="Arial" w:hAnsi="Arial" w:cs="Arial"/>
          <w:sz w:val="22"/>
          <w:szCs w:val="22"/>
        </w:rPr>
        <w:t>. in merito alla veridicità delle previsioni di entrata e di compatibilità delle previsioni di spesa, avanzate dai vari servizi, iscritte nel bilancio annuale o pluriennale;</w:t>
      </w:r>
    </w:p>
    <w:p w:rsidR="00457C6B" w:rsidRDefault="0047703E">
      <w:pPr>
        <w:tabs>
          <w:tab w:val="left" w:pos="360"/>
          <w:tab w:val="left" w:pos="426"/>
        </w:tabs>
        <w:spacing w:after="120"/>
        <w:jc w:val="both"/>
        <w:rPr>
          <w:rFonts w:ascii="Arial" w:hAnsi="Arial" w:cs="Arial"/>
          <w:sz w:val="22"/>
          <w:szCs w:val="22"/>
        </w:rPr>
      </w:pPr>
      <w:r>
        <w:rPr>
          <w:rFonts w:ascii="Arial" w:hAnsi="Arial" w:cs="Arial"/>
          <w:color w:val="0000FF"/>
          <w:sz w:val="22"/>
          <w:szCs w:val="22"/>
        </w:rPr>
        <w:t>hanno/ha</w:t>
      </w:r>
      <w:r>
        <w:rPr>
          <w:rFonts w:ascii="Arial" w:hAnsi="Arial" w:cs="Arial"/>
          <w:b/>
          <w:i/>
          <w:color w:val="548DD4"/>
          <w:sz w:val="22"/>
          <w:szCs w:val="22"/>
        </w:rPr>
        <w:t xml:space="preserve"> </w:t>
      </w:r>
      <w:r>
        <w:rPr>
          <w:rFonts w:ascii="Arial" w:hAnsi="Arial" w:cs="Arial"/>
          <w:sz w:val="22"/>
          <w:szCs w:val="22"/>
        </w:rPr>
        <w:t>effettuato le seguenti verifiche al fine di esprimere un motivato giudizio di coerenza, attendibilità e congruità contabile delle previsioni di bilancio e dei programmi e progetti, come richiesto dall’art. 239, comma 1, lettera b) del TUEL.</w:t>
      </w: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57C6B">
      <w:pPr>
        <w:spacing w:after="120"/>
        <w:jc w:val="both"/>
        <w:rPr>
          <w:rFonts w:ascii="Arial" w:hAnsi="Arial" w:cs="Arial"/>
          <w:i/>
          <w:sz w:val="20"/>
        </w:rPr>
      </w:pPr>
    </w:p>
    <w:p w:rsidR="00457C6B" w:rsidRDefault="0047703E">
      <w:pPr>
        <w:pStyle w:val="Titolo1"/>
        <w:rPr>
          <w:sz w:val="32"/>
          <w:szCs w:val="32"/>
        </w:rPr>
      </w:pPr>
      <w:r>
        <w:rPr>
          <w:sz w:val="32"/>
          <w:szCs w:val="32"/>
        </w:rPr>
        <w:t xml:space="preserve">    </w:t>
      </w:r>
      <w:bookmarkStart w:id="3" w:name="_Toc408988054"/>
      <w:r>
        <w:rPr>
          <w:sz w:val="32"/>
          <w:szCs w:val="32"/>
        </w:rPr>
        <w:t>VERIFICHE DEGLI EQUILIBRI</w:t>
      </w:r>
      <w:bookmarkEnd w:id="3"/>
      <w:r>
        <w:rPr>
          <w:sz w:val="32"/>
          <w:szCs w:val="32"/>
        </w:rPr>
        <w:t xml:space="preserve"> </w:t>
      </w:r>
    </w:p>
    <w:p w:rsidR="00457C6B" w:rsidRDefault="00457C6B"/>
    <w:p w:rsidR="00457C6B" w:rsidRDefault="00457C6B"/>
    <w:p w:rsidR="00457C6B" w:rsidRDefault="0047703E">
      <w:pPr>
        <w:pStyle w:val="Titolo2"/>
      </w:pPr>
      <w:bookmarkStart w:id="4" w:name="_GESTIONE_DELL’ESERCIZIO_2008"/>
      <w:bookmarkEnd w:id="4"/>
      <w:r>
        <w:br w:type="page"/>
      </w:r>
      <w:bookmarkStart w:id="5" w:name="_Toc408988055"/>
      <w:r>
        <w:lastRenderedPageBreak/>
        <w:t>EQUILIBRI GESTIONE DELL’ESERCIZIO 2014</w:t>
      </w:r>
      <w:bookmarkEnd w:id="5"/>
    </w:p>
    <w:p w:rsidR="00457C6B" w:rsidRDefault="0047703E">
      <w:r>
        <w:tab/>
      </w:r>
      <w:r>
        <w:tab/>
      </w:r>
      <w:r>
        <w:tab/>
      </w:r>
      <w:r>
        <w:tab/>
      </w:r>
    </w:p>
    <w:p w:rsidR="00457C6B" w:rsidRDefault="0047703E">
      <w:pPr>
        <w:jc w:val="center"/>
        <w:rPr>
          <w:rFonts w:ascii="Arial" w:hAnsi="Arial" w:cs="Arial"/>
          <w:u w:val="single"/>
        </w:rPr>
      </w:pPr>
      <w:r>
        <w:rPr>
          <w:rFonts w:ascii="Arial" w:hAnsi="Arial" w:cs="Arial"/>
          <w:u w:val="single"/>
        </w:rPr>
        <w:t>Per gli enti in equilibrio</w:t>
      </w:r>
    </w:p>
    <w:p w:rsidR="00457C6B" w:rsidRDefault="00457C6B">
      <w:pPr>
        <w:rPr>
          <w:rFonts w:ascii="Arial" w:hAnsi="Arial" w:cs="Arial"/>
          <w:u w:val="single"/>
        </w:rPr>
      </w:pPr>
    </w:p>
    <w:p w:rsidR="00457C6B" w:rsidRDefault="0047703E">
      <w:pPr>
        <w:rPr>
          <w:rFonts w:ascii="Arial" w:hAnsi="Arial" w:cs="Arial"/>
          <w:sz w:val="22"/>
          <w:szCs w:val="22"/>
        </w:rPr>
      </w:pPr>
      <w:r>
        <w:rPr>
          <w:rFonts w:ascii="Arial" w:hAnsi="Arial" w:cs="Arial"/>
          <w:sz w:val="22"/>
          <w:szCs w:val="22"/>
        </w:rPr>
        <w:t>L’organo consiliare</w:t>
      </w:r>
      <w:r>
        <w:rPr>
          <w:rFonts w:ascii="Arial" w:hAnsi="Arial" w:cs="Arial"/>
          <w:sz w:val="20"/>
          <w:szCs w:val="20"/>
        </w:rPr>
        <w:t>(</w:t>
      </w:r>
      <w:r>
        <w:rPr>
          <w:rFonts w:ascii="Arial" w:hAnsi="Arial" w:cs="Arial"/>
          <w:i/>
          <w:color w:val="0000FF"/>
          <w:sz w:val="16"/>
          <w:szCs w:val="16"/>
        </w:rPr>
        <w:t>nel caso di approvazione del rendiconto 2014 prima della deliberazione del bilancio 2015</w:t>
      </w:r>
      <w:r>
        <w:rPr>
          <w:rFonts w:ascii="Arial" w:hAnsi="Arial" w:cs="Arial"/>
          <w:sz w:val="20"/>
          <w:szCs w:val="20"/>
        </w:rPr>
        <w:t xml:space="preserve">) </w:t>
      </w:r>
      <w:r>
        <w:rPr>
          <w:rFonts w:ascii="Arial" w:hAnsi="Arial" w:cs="Arial"/>
          <w:sz w:val="22"/>
          <w:szCs w:val="22"/>
        </w:rPr>
        <w:t xml:space="preserve"> ha approvato con delibera n. </w:t>
      </w:r>
      <w:proofErr w:type="spellStart"/>
      <w:r>
        <w:rPr>
          <w:rFonts w:ascii="Arial" w:hAnsi="Arial" w:cs="Arial"/>
          <w:sz w:val="22"/>
          <w:szCs w:val="22"/>
        </w:rPr>
        <w:t>……</w:t>
      </w:r>
      <w:proofErr w:type="spellEnd"/>
      <w:r>
        <w:rPr>
          <w:rFonts w:ascii="Arial" w:hAnsi="Arial" w:cs="Arial"/>
          <w:sz w:val="22"/>
          <w:szCs w:val="22"/>
        </w:rPr>
        <w:t xml:space="preserve">. del </w:t>
      </w:r>
      <w:proofErr w:type="spellStart"/>
      <w:r>
        <w:rPr>
          <w:rFonts w:ascii="Arial" w:hAnsi="Arial" w:cs="Arial"/>
          <w:sz w:val="22"/>
          <w:szCs w:val="22"/>
        </w:rPr>
        <w:t>………</w:t>
      </w:r>
      <w:proofErr w:type="spellEnd"/>
      <w:r>
        <w:rPr>
          <w:rFonts w:ascii="Arial" w:hAnsi="Arial" w:cs="Arial"/>
          <w:sz w:val="22"/>
          <w:szCs w:val="22"/>
        </w:rPr>
        <w:t>.. il rendiconto per l’esercizio 2014.</w:t>
      </w:r>
    </w:p>
    <w:p w:rsidR="00457C6B" w:rsidRDefault="0047703E">
      <w:pPr>
        <w:spacing w:before="120" w:line="240" w:lineRule="exact"/>
        <w:jc w:val="both"/>
        <w:rPr>
          <w:rFonts w:ascii="Arial" w:hAnsi="Arial" w:cs="Arial"/>
          <w:sz w:val="22"/>
          <w:szCs w:val="22"/>
        </w:rPr>
      </w:pPr>
      <w:r>
        <w:rPr>
          <w:rFonts w:ascii="Arial" w:hAnsi="Arial" w:cs="Arial"/>
          <w:sz w:val="22"/>
          <w:szCs w:val="22"/>
        </w:rPr>
        <w:t>Da tale rendiconto ( o dal preconsuntivo dell’esercizio 2014) risulta che:</w:t>
      </w:r>
    </w:p>
    <w:p w:rsidR="00457C6B" w:rsidRDefault="0047703E">
      <w:pPr>
        <w:numPr>
          <w:ilvl w:val="0"/>
          <w:numId w:val="22"/>
        </w:numPr>
        <w:spacing w:before="120" w:line="240" w:lineRule="exact"/>
        <w:jc w:val="both"/>
        <w:rPr>
          <w:rFonts w:ascii="Arial" w:hAnsi="Arial" w:cs="Arial"/>
          <w:sz w:val="22"/>
          <w:szCs w:val="22"/>
        </w:rPr>
      </w:pPr>
      <w:r>
        <w:rPr>
          <w:rFonts w:ascii="Arial" w:hAnsi="Arial" w:cs="Arial"/>
          <w:sz w:val="22"/>
          <w:szCs w:val="22"/>
        </w:rPr>
        <w:t>sono salvaguardati gli equilibri di bilancio;</w:t>
      </w:r>
    </w:p>
    <w:p w:rsidR="00457C6B" w:rsidRDefault="0047703E">
      <w:pPr>
        <w:numPr>
          <w:ilvl w:val="0"/>
          <w:numId w:val="22"/>
        </w:numPr>
        <w:spacing w:before="120" w:line="240" w:lineRule="exact"/>
        <w:jc w:val="both"/>
        <w:rPr>
          <w:rFonts w:ascii="Arial" w:hAnsi="Arial" w:cs="Arial"/>
          <w:sz w:val="22"/>
          <w:szCs w:val="22"/>
        </w:rPr>
      </w:pPr>
      <w:r>
        <w:rPr>
          <w:rFonts w:ascii="Arial" w:hAnsi="Arial" w:cs="Arial"/>
          <w:sz w:val="22"/>
          <w:szCs w:val="22"/>
        </w:rPr>
        <w:t>non risultato debiti fuori bilancio o passività probabili da finanziare;</w:t>
      </w:r>
    </w:p>
    <w:p w:rsidR="00457C6B" w:rsidRDefault="0047703E">
      <w:pPr>
        <w:numPr>
          <w:ilvl w:val="0"/>
          <w:numId w:val="22"/>
        </w:numPr>
        <w:spacing w:before="120" w:line="240" w:lineRule="exact"/>
        <w:jc w:val="both"/>
        <w:rPr>
          <w:rFonts w:ascii="Arial" w:hAnsi="Arial" w:cs="Arial"/>
          <w:sz w:val="22"/>
          <w:szCs w:val="22"/>
        </w:rPr>
      </w:pPr>
      <w:r>
        <w:rPr>
          <w:rFonts w:ascii="Arial" w:hAnsi="Arial" w:cs="Arial"/>
          <w:sz w:val="22"/>
          <w:szCs w:val="22"/>
        </w:rPr>
        <w:t>non sono richiesti finanziamenti straordinari agli organismi partecipati;</w:t>
      </w:r>
    </w:p>
    <w:p w:rsidR="00457C6B" w:rsidRDefault="0047703E">
      <w:pPr>
        <w:numPr>
          <w:ilvl w:val="0"/>
          <w:numId w:val="22"/>
        </w:numPr>
        <w:spacing w:before="120" w:after="60"/>
        <w:jc w:val="both"/>
        <w:rPr>
          <w:rFonts w:ascii="Arial" w:hAnsi="Arial" w:cs="Arial"/>
          <w:sz w:val="22"/>
          <w:szCs w:val="20"/>
        </w:rPr>
      </w:pPr>
      <w:r>
        <w:rPr>
          <w:rFonts w:ascii="Arial" w:hAnsi="Arial" w:cs="Arial"/>
          <w:sz w:val="22"/>
          <w:szCs w:val="20"/>
        </w:rPr>
        <w:t>la gestione dell’anno 2014 è stata improntata al rispetto dei limiti di saldo finanziario disposti dall’art. 31 della Legge 12/11/2011, n.183 ai fini del patto di stabilità interno;</w:t>
      </w:r>
    </w:p>
    <w:p w:rsidR="00457C6B" w:rsidRDefault="0047703E">
      <w:pPr>
        <w:spacing w:before="120" w:after="60"/>
        <w:ind w:firstLine="360"/>
        <w:jc w:val="both"/>
        <w:rPr>
          <w:rFonts w:ascii="Arial" w:hAnsi="Arial" w:cs="Arial"/>
          <w:sz w:val="22"/>
          <w:szCs w:val="22"/>
        </w:rPr>
      </w:pPr>
      <w:r>
        <w:rPr>
          <w:rFonts w:ascii="Arial" w:hAnsi="Arial" w:cs="Arial"/>
          <w:sz w:val="22"/>
          <w:szCs w:val="22"/>
        </w:rPr>
        <w:t>-</w:t>
      </w:r>
      <w:r>
        <w:rPr>
          <w:rFonts w:ascii="Arial" w:hAnsi="Arial" w:cs="Arial"/>
          <w:sz w:val="22"/>
          <w:szCs w:val="22"/>
        </w:rPr>
        <w:tab/>
        <w:t>la gestione dell’anno 2014 è stata improntata al rispetto della riduzione della spesa di personale, rispetto alla media degli anni 2011/2013, attraverso il contenimento della dinamica retributiva ed occupazionale come disposto dal comma 557 e dell’art.1 della Legge 296/2006 .</w:t>
      </w:r>
    </w:p>
    <w:p w:rsidR="00457C6B" w:rsidRDefault="00457C6B">
      <w:pPr>
        <w:spacing w:before="120" w:after="60"/>
        <w:ind w:left="360"/>
        <w:jc w:val="both"/>
        <w:rPr>
          <w:rFonts w:ascii="Arial" w:hAnsi="Arial" w:cs="Arial"/>
          <w:sz w:val="22"/>
          <w:szCs w:val="20"/>
        </w:rPr>
      </w:pPr>
    </w:p>
    <w:p w:rsidR="00457C6B" w:rsidRDefault="00457C6B">
      <w:pPr>
        <w:rPr>
          <w:rFonts w:ascii="Arial" w:hAnsi="Arial" w:cs="Arial"/>
          <w:i/>
          <w:sz w:val="16"/>
        </w:rPr>
      </w:pPr>
    </w:p>
    <w:p w:rsidR="00457C6B" w:rsidRDefault="0047703E">
      <w:pPr>
        <w:pBdr>
          <w:top w:val="single" w:sz="4" w:space="1" w:color="auto"/>
          <w:left w:val="single" w:sz="4" w:space="4" w:color="auto"/>
          <w:bottom w:val="single" w:sz="4" w:space="1" w:color="auto"/>
          <w:right w:val="single" w:sz="4" w:space="4" w:color="auto"/>
        </w:pBdr>
        <w:jc w:val="both"/>
        <w:rPr>
          <w:rFonts w:ascii="Arial" w:hAnsi="Arial" w:cs="Arial"/>
          <w:b/>
          <w:i/>
          <w:color w:val="0000FF"/>
          <w:sz w:val="18"/>
        </w:rPr>
      </w:pPr>
      <w:r>
        <w:rPr>
          <w:rFonts w:ascii="Arial" w:hAnsi="Arial" w:cs="Arial"/>
          <w:b/>
          <w:i/>
          <w:color w:val="0000FF"/>
          <w:sz w:val="18"/>
        </w:rPr>
        <w:t xml:space="preserve">(Il comma 20 dell’art.31 della </w:t>
      </w:r>
      <w:r>
        <w:rPr>
          <w:rFonts w:ascii="Arial" w:hAnsi="Arial" w:cs="Arial"/>
          <w:b/>
          <w:i/>
          <w:color w:val="0000FF"/>
          <w:sz w:val="18"/>
          <w:szCs w:val="20"/>
        </w:rPr>
        <w:t>Legge 12/11/2011, n.183</w:t>
      </w:r>
      <w:r>
        <w:rPr>
          <w:rFonts w:ascii="Arial" w:hAnsi="Arial" w:cs="Arial"/>
          <w:b/>
          <w:i/>
          <w:color w:val="0000FF"/>
          <w:sz w:val="18"/>
        </w:rPr>
        <w:t xml:space="preserve"> dispone che entro il 31/3/2015 i Comuni soggetti al patto di stabilità per l’anno 2014 devono trasmettere la certificazione dei risultati ottenuti al Ministero dell’Economia e delle Finanze- Dipartimento della Ragioneria Generale dello Stato.</w:t>
      </w:r>
    </w:p>
    <w:p w:rsidR="00457C6B" w:rsidRDefault="0047703E">
      <w:pPr>
        <w:pBdr>
          <w:top w:val="single" w:sz="4" w:space="1" w:color="auto"/>
          <w:left w:val="single" w:sz="4" w:space="4" w:color="auto"/>
          <w:bottom w:val="single" w:sz="4" w:space="1" w:color="auto"/>
          <w:right w:val="single" w:sz="4" w:space="4" w:color="auto"/>
        </w:pBdr>
        <w:jc w:val="both"/>
        <w:rPr>
          <w:rFonts w:ascii="Arial" w:hAnsi="Arial" w:cs="Arial"/>
          <w:b/>
          <w:i/>
          <w:color w:val="0000FF"/>
          <w:sz w:val="18"/>
          <w:szCs w:val="16"/>
        </w:rPr>
      </w:pPr>
      <w:r>
        <w:rPr>
          <w:rFonts w:ascii="Arial" w:hAnsi="Arial" w:cs="Arial"/>
          <w:b/>
          <w:i/>
          <w:color w:val="0000FF"/>
          <w:sz w:val="18"/>
          <w:szCs w:val="16"/>
        </w:rPr>
        <w:t xml:space="preserve">La mancata trasmissione della certificazione costituisce inadempimento al patto di stabilità interno. </w:t>
      </w:r>
    </w:p>
    <w:p w:rsidR="00457C6B" w:rsidRDefault="0047703E">
      <w:pPr>
        <w:pBdr>
          <w:top w:val="single" w:sz="4" w:space="1" w:color="auto"/>
          <w:left w:val="single" w:sz="4" w:space="4" w:color="auto"/>
          <w:bottom w:val="single" w:sz="4" w:space="1" w:color="auto"/>
          <w:right w:val="single" w:sz="4" w:space="4" w:color="auto"/>
        </w:pBdr>
        <w:jc w:val="both"/>
        <w:rPr>
          <w:rFonts w:ascii="Arial" w:hAnsi="Arial" w:cs="Arial"/>
          <w:b/>
          <w:i/>
          <w:color w:val="0000FF"/>
          <w:sz w:val="18"/>
          <w:szCs w:val="16"/>
        </w:rPr>
      </w:pPr>
      <w:r>
        <w:rPr>
          <w:rFonts w:ascii="Arial" w:hAnsi="Arial" w:cs="Arial"/>
          <w:b/>
          <w:i/>
          <w:color w:val="0000FF"/>
          <w:sz w:val="18"/>
          <w:szCs w:val="16"/>
        </w:rPr>
        <w:t xml:space="preserve">L’ente rispettoso del patto che non trasmette la certificazione nei termini previsti è considerato inadempiente. Nel caso di certificazione sebbene in ritardo, sia trasmessa entro 60 giorni dal termine stabilito per l’approvazione del conto consuntivo e attesti il rispetto del patto è applicata, a decorrere dalla data di invio, la sanzione di cui all’art. 7 comma 1, lettera d) del </w:t>
      </w:r>
      <w:proofErr w:type="spellStart"/>
      <w:r>
        <w:rPr>
          <w:rFonts w:ascii="Arial" w:hAnsi="Arial" w:cs="Arial"/>
          <w:b/>
          <w:i/>
          <w:color w:val="0000FF"/>
          <w:sz w:val="18"/>
          <w:szCs w:val="16"/>
        </w:rPr>
        <w:t>D.Lgs.</w:t>
      </w:r>
      <w:proofErr w:type="spellEnd"/>
      <w:r>
        <w:rPr>
          <w:rFonts w:ascii="Arial" w:hAnsi="Arial" w:cs="Arial"/>
          <w:b/>
          <w:i/>
          <w:color w:val="0000FF"/>
          <w:sz w:val="18"/>
          <w:szCs w:val="16"/>
        </w:rPr>
        <w:t xml:space="preserve"> 149/2011 e cioè il divieto di procedere ad assunzioni di personale a qualsiasi titolo, con qualsivoglia tipologia contrattuale, ivi compresi i rapporti di collaborazione continuata e continuativa e di somministrazione, anche con riferimento ai processi di stabilizzazione in atto. Decorsi 60 giorni dal termine stabilito per l’approvazione del rendiconto (29 giugno), il presidente del collegio dei revisori o il revisore unico hanno l’obbligo di provvedere in qualità di commissario ad </w:t>
      </w:r>
      <w:proofErr w:type="spellStart"/>
      <w:r>
        <w:rPr>
          <w:rFonts w:ascii="Arial" w:hAnsi="Arial" w:cs="Arial"/>
          <w:b/>
          <w:i/>
          <w:color w:val="0000FF"/>
          <w:sz w:val="18"/>
          <w:szCs w:val="16"/>
        </w:rPr>
        <w:t>acta</w:t>
      </w:r>
      <w:proofErr w:type="spellEnd"/>
      <w:r>
        <w:rPr>
          <w:rFonts w:ascii="Arial" w:hAnsi="Arial" w:cs="Arial"/>
          <w:b/>
          <w:i/>
          <w:color w:val="0000FF"/>
          <w:sz w:val="18"/>
          <w:szCs w:val="16"/>
        </w:rPr>
        <w:t xml:space="preserve"> a predisporre la certificazione ed a trasmetterla entro il 29 luglio acquisendo le firme del responsabile del servizio finanziario, del sindaco o del presidente della Provincia.)</w:t>
      </w:r>
    </w:p>
    <w:p w:rsidR="00457C6B" w:rsidRDefault="00457C6B">
      <w:pPr>
        <w:spacing w:before="120" w:line="240" w:lineRule="exact"/>
        <w:jc w:val="both"/>
        <w:rPr>
          <w:rFonts w:ascii="Arial" w:hAnsi="Arial" w:cs="Arial"/>
          <w:i/>
          <w:sz w:val="20"/>
        </w:rPr>
      </w:pPr>
    </w:p>
    <w:p w:rsidR="00457C6B" w:rsidRDefault="0047703E">
      <w:pPr>
        <w:jc w:val="center"/>
        <w:rPr>
          <w:rFonts w:ascii="Arial" w:hAnsi="Arial" w:cs="Arial"/>
          <w:u w:val="single"/>
        </w:rPr>
      </w:pPr>
      <w:r>
        <w:rPr>
          <w:rFonts w:ascii="Arial" w:hAnsi="Arial" w:cs="Arial"/>
          <w:u w:val="single"/>
        </w:rPr>
        <w:t>Per gli enti in squilibrio</w:t>
      </w:r>
    </w:p>
    <w:p w:rsidR="00457C6B" w:rsidRDefault="0047703E">
      <w:pPr>
        <w:spacing w:before="120" w:line="240" w:lineRule="exact"/>
        <w:jc w:val="both"/>
        <w:rPr>
          <w:rFonts w:ascii="Arial" w:hAnsi="Arial" w:cs="Arial"/>
          <w:color w:val="0000FF"/>
          <w:sz w:val="20"/>
        </w:rPr>
      </w:pPr>
      <w:r>
        <w:rPr>
          <w:rFonts w:ascii="Arial" w:hAnsi="Arial" w:cs="Arial"/>
          <w:color w:val="0000FF"/>
          <w:sz w:val="20"/>
        </w:rPr>
        <w:t xml:space="preserve"> (indicare le situazioni di squilibrio e/o di mancato rispetto dei vincoli di finanza pubblica).</w:t>
      </w:r>
    </w:p>
    <w:p w:rsidR="00457C6B" w:rsidRDefault="00457C6B">
      <w:pPr>
        <w:spacing w:before="120" w:after="60"/>
        <w:jc w:val="both"/>
        <w:rPr>
          <w:rFonts w:ascii="Arial" w:hAnsi="Arial" w:cs="Arial"/>
          <w:sz w:val="22"/>
          <w:szCs w:val="22"/>
        </w:rPr>
      </w:pPr>
    </w:p>
    <w:p w:rsidR="00457C6B" w:rsidRDefault="0047703E">
      <w:pPr>
        <w:pBdr>
          <w:top w:val="outset" w:sz="6" w:space="1" w:color="auto"/>
          <w:left w:val="outset" w:sz="6" w:space="4" w:color="auto"/>
          <w:bottom w:val="inset" w:sz="6" w:space="1" w:color="auto"/>
          <w:right w:val="inset" w:sz="6" w:space="4" w:color="auto"/>
        </w:pBdr>
        <w:spacing w:before="120" w:after="60"/>
        <w:jc w:val="center"/>
        <w:rPr>
          <w:rFonts w:ascii="Arial" w:hAnsi="Arial" w:cs="Arial"/>
          <w:color w:val="0000FF"/>
          <w:sz w:val="20"/>
          <w:szCs w:val="20"/>
        </w:rPr>
      </w:pPr>
      <w:r>
        <w:rPr>
          <w:rFonts w:ascii="Arial" w:hAnsi="Arial" w:cs="Arial"/>
          <w:color w:val="0000FF"/>
          <w:sz w:val="20"/>
          <w:szCs w:val="20"/>
        </w:rPr>
        <w:t>(nell’ipotesi di mancato rispetto del patto di stabilità 2014)</w:t>
      </w:r>
    </w:p>
    <w:p w:rsidR="00457C6B" w:rsidRDefault="0047703E">
      <w:pPr>
        <w:pBdr>
          <w:top w:val="outset" w:sz="6" w:space="1" w:color="auto"/>
          <w:left w:val="outset" w:sz="6" w:space="4" w:color="auto"/>
          <w:bottom w:val="inset" w:sz="6" w:space="1" w:color="auto"/>
          <w:right w:val="inset" w:sz="6" w:space="4" w:color="auto"/>
        </w:pBdr>
        <w:spacing w:before="120" w:after="60"/>
        <w:jc w:val="both"/>
        <w:rPr>
          <w:rFonts w:ascii="Arial" w:hAnsi="Arial" w:cs="Arial"/>
          <w:sz w:val="20"/>
          <w:szCs w:val="20"/>
        </w:rPr>
      </w:pPr>
      <w:r>
        <w:rPr>
          <w:rFonts w:ascii="Arial" w:hAnsi="Arial" w:cs="Arial"/>
          <w:sz w:val="20"/>
          <w:szCs w:val="20"/>
        </w:rPr>
        <w:t>L’organo di revisione informa il Consiglio che il mancato rispetto dell’obiettivo del patto di stabilità comporta le seguenti sanzioni:</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xml:space="preserve">a) Riduzione del fondo sperimentale di riequilibrio o del fondo perequativo in misura pari alla differenza tra risultato registrato ed obiettivo programmatico predeterminato. Gli enti locali della Regione siciliana e della regione Sardegna sono assoggettati alla riduzione dei trasferimenti erariali nella misura indicata nel primo periodo. In caso di </w:t>
      </w:r>
      <w:proofErr w:type="spellStart"/>
      <w:r>
        <w:rPr>
          <w:rFonts w:ascii="Arial" w:hAnsi="Arial" w:cs="Arial"/>
          <w:sz w:val="20"/>
          <w:szCs w:val="20"/>
        </w:rPr>
        <w:t>incapienza</w:t>
      </w:r>
      <w:proofErr w:type="spellEnd"/>
      <w:r>
        <w:rPr>
          <w:rFonts w:ascii="Arial" w:hAnsi="Arial" w:cs="Arial"/>
          <w:sz w:val="20"/>
          <w:szCs w:val="20"/>
        </w:rPr>
        <w:t xml:space="preserve"> dei predetti fondi gli enti locali sono tenuti a versare all’entrata del bilancio dello Stato le somme residue. La sanzione non si applica nel caso in cui il superamento degli obiettivi del patto interno sia determinato dalla maggior spesa per interventi realizzati con la quota di finanziamento nazionale e correlati ai finanziamenti dell’Unione Europea rispetto alla media della corrispondente spesa del triennio precedente;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xml:space="preserve">b) Divieto di impegnare nell’anno successivo a quello di mancato rispetto spese correnti in misura superiore all’importo annuale medio dell’ultimo triennio; </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c) Divieto di ricorrere all’indebitamento per investimenti; i mutui e i prestiti obbligazionari posti in essere con istituzioni creditizie o finanziarie per il finanziamento degli investimenti, devono essere corredati da apposita certificazione da cui risulti il conseguimento degli obiettivi del patto di stabilità interno per l’anno precedente, L’istituto finanziatore o l’intermediario finanziario non può procedere al finanziamento o al collocamento del prestito in assenza della predetta attestazione;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lastRenderedPageBreak/>
        <w:t xml:space="preserve">d) Divieto di assunzione di personale a qualsiasi titolo, con qualsivoglia tipologia contrattuale compresi </w:t>
      </w:r>
      <w:proofErr w:type="spellStart"/>
      <w:r>
        <w:rPr>
          <w:rFonts w:ascii="Arial" w:hAnsi="Arial" w:cs="Arial"/>
          <w:sz w:val="20"/>
          <w:szCs w:val="20"/>
        </w:rPr>
        <w:t>co.co.co.</w:t>
      </w:r>
      <w:proofErr w:type="spellEnd"/>
      <w:r>
        <w:rPr>
          <w:rFonts w:ascii="Arial" w:hAnsi="Arial" w:cs="Arial"/>
          <w:sz w:val="20"/>
          <w:szCs w:val="20"/>
        </w:rPr>
        <w:t xml:space="preserve"> e somministrazioni anche con riferimento ai processi di stabilizzazione in atto. E’ fatto altresì divieto agli enti di stipulare contratti di servizio con soggetti privati che si configurino come elusivi delle predette disposizioni sul personale;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e) Rideterminazione indennità di funzione e gettoni di presenza agli amministratori (indicati nell’art.82 del TUEL) con applicazione di una riduzione del 30% rispetto all’ammontare risultante alla data del 30/6/2010;</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f) Divieto di incremento delle risorse decentrate (art. 8, comma 1 CCNL 11/4/2008).</w:t>
      </w:r>
    </w:p>
    <w:p w:rsidR="00457C6B" w:rsidRDefault="00457C6B">
      <w:pPr>
        <w:ind w:left="2124" w:firstLine="708"/>
        <w:rPr>
          <w:rFonts w:ascii="Arial" w:hAnsi="Arial" w:cs="Arial"/>
          <w:i/>
          <w:sz w:val="16"/>
        </w:rPr>
      </w:pPr>
    </w:p>
    <w:p w:rsidR="00457C6B" w:rsidRDefault="00457C6B">
      <w:pPr>
        <w:rPr>
          <w:rFonts w:ascii="Arial" w:hAnsi="Arial" w:cs="Arial"/>
          <w:b/>
          <w:i/>
          <w:sz w:val="20"/>
          <w:szCs w:val="20"/>
          <w:highlight w:val="green"/>
          <w:u w:val="single"/>
        </w:rPr>
      </w:pPr>
    </w:p>
    <w:p w:rsidR="00457C6B" w:rsidRDefault="0047703E">
      <w:pPr>
        <w:jc w:val="center"/>
        <w:rPr>
          <w:rFonts w:ascii="Arial" w:hAnsi="Arial" w:cs="Arial"/>
          <w:u w:val="single"/>
        </w:rPr>
      </w:pPr>
      <w:r>
        <w:rPr>
          <w:rFonts w:ascii="Arial" w:hAnsi="Arial" w:cs="Arial"/>
          <w:u w:val="single"/>
        </w:rPr>
        <w:t>Per gli enti non soggetti al patto di stabilità</w:t>
      </w:r>
    </w:p>
    <w:p w:rsidR="00457C6B" w:rsidRDefault="0047703E">
      <w:pPr>
        <w:spacing w:before="120" w:after="60"/>
        <w:jc w:val="both"/>
        <w:rPr>
          <w:rFonts w:ascii="Arial" w:hAnsi="Arial" w:cs="Arial"/>
          <w:sz w:val="22"/>
        </w:rPr>
      </w:pPr>
      <w:r>
        <w:rPr>
          <w:rFonts w:ascii="Arial" w:hAnsi="Arial" w:cs="Arial"/>
          <w:sz w:val="22"/>
        </w:rPr>
        <w:t xml:space="preserve">La gestione dell’anno 2014 è stata improntata al rispetto del contenimento della spesa di personale disposto </w:t>
      </w:r>
      <w:r>
        <w:rPr>
          <w:rFonts w:ascii="Arial" w:hAnsi="Arial" w:cs="Arial"/>
          <w:sz w:val="22"/>
          <w:szCs w:val="20"/>
        </w:rPr>
        <w:t>dal comma 562 dell’art.1 della Legge 296/2006. Le spese</w:t>
      </w:r>
      <w:r>
        <w:rPr>
          <w:rFonts w:ascii="Arial" w:hAnsi="Arial" w:cs="Arial"/>
          <w:sz w:val="22"/>
        </w:rPr>
        <w:t xml:space="preserve"> dell’anno 2014 non superano, infatti, il corrispondente ammontare dell’anno 2008 al lordo degli oneri riflessi, dell’Irap e con esclusione degli oneri contrattuali.</w:t>
      </w:r>
    </w:p>
    <w:p w:rsidR="00457C6B" w:rsidRDefault="00457C6B">
      <w:pPr>
        <w:jc w:val="both"/>
        <w:rPr>
          <w:rFonts w:ascii="Arial" w:hAnsi="Arial" w:cs="Arial"/>
          <w:b/>
          <w:i/>
          <w:sz w:val="20"/>
          <w:u w:val="single"/>
        </w:rPr>
      </w:pPr>
    </w:p>
    <w:p w:rsidR="00457C6B" w:rsidRDefault="00457C6B">
      <w:pPr>
        <w:jc w:val="both"/>
        <w:rPr>
          <w:rFonts w:ascii="Arial" w:hAnsi="Arial" w:cs="Arial"/>
          <w:b/>
          <w:i/>
          <w:sz w:val="20"/>
          <w:u w:val="single"/>
        </w:rPr>
      </w:pPr>
    </w:p>
    <w:p w:rsidR="00457C6B" w:rsidRDefault="0047703E">
      <w:pPr>
        <w:jc w:val="both"/>
        <w:rPr>
          <w:rFonts w:ascii="Arial" w:hAnsi="Arial" w:cs="Arial"/>
          <w:b/>
          <w:i/>
          <w:sz w:val="22"/>
          <w:szCs w:val="22"/>
          <w:u w:val="single"/>
        </w:rPr>
      </w:pPr>
      <w:r>
        <w:rPr>
          <w:rFonts w:ascii="Arial" w:hAnsi="Arial" w:cs="Arial"/>
          <w:b/>
          <w:i/>
          <w:sz w:val="22"/>
          <w:szCs w:val="22"/>
          <w:u w:val="single"/>
        </w:rPr>
        <w:t>Debiti fuori bilancio e passività potenziali</w:t>
      </w:r>
    </w:p>
    <w:p w:rsidR="00457C6B" w:rsidRDefault="00457C6B">
      <w:pPr>
        <w:jc w:val="both"/>
        <w:rPr>
          <w:rFonts w:ascii="Arial" w:hAnsi="Arial" w:cs="Arial"/>
          <w:sz w:val="20"/>
        </w:rPr>
      </w:pPr>
    </w:p>
    <w:p w:rsidR="00457C6B" w:rsidRDefault="0047703E">
      <w:pPr>
        <w:jc w:val="both"/>
        <w:rPr>
          <w:rFonts w:ascii="Arial" w:hAnsi="Arial" w:cs="Arial"/>
          <w:sz w:val="20"/>
          <w:szCs w:val="20"/>
        </w:rPr>
      </w:pPr>
      <w:r>
        <w:rPr>
          <w:rFonts w:ascii="Arial" w:hAnsi="Arial" w:cs="Arial"/>
          <w:sz w:val="22"/>
          <w:szCs w:val="22"/>
        </w:rPr>
        <w:t>Dalle comunicazioni ricevute risultano i seguenti debiti fuori bilancio da riconoscere e finanziare:</w:t>
      </w:r>
      <w:r>
        <w:rPr>
          <w:rFonts w:ascii="Arial" w:hAnsi="Arial" w:cs="Arial"/>
          <w:sz w:val="20"/>
          <w:szCs w:val="20"/>
        </w:rPr>
        <w:t xml:space="preserve"> </w:t>
      </w:r>
      <w:proofErr w:type="spellStart"/>
      <w:r>
        <w:rPr>
          <w:rFonts w:ascii="Arial" w:hAnsi="Arial" w:cs="Arial"/>
          <w:sz w:val="20"/>
          <w:szCs w:val="20"/>
        </w:rPr>
        <w:t>………</w:t>
      </w:r>
      <w:proofErr w:type="spellEnd"/>
    </w:p>
    <w:p w:rsidR="00457C6B" w:rsidRDefault="0047703E">
      <w:pPr>
        <w:jc w:val="both"/>
        <w:rPr>
          <w:rFonts w:ascii="Arial" w:hAnsi="Arial" w:cs="Arial"/>
          <w:sz w:val="22"/>
          <w:szCs w:val="22"/>
        </w:rPr>
      </w:pPr>
      <w:r>
        <w:rPr>
          <w:rFonts w:ascii="Arial" w:hAnsi="Arial" w:cs="Arial"/>
          <w:sz w:val="22"/>
          <w:szCs w:val="22"/>
        </w:rPr>
        <w:t xml:space="preserve">Al finanziamento di tali passività l’ente intende provvedere con </w:t>
      </w:r>
      <w:proofErr w:type="spellStart"/>
      <w:r>
        <w:rPr>
          <w:rFonts w:ascii="Arial" w:hAnsi="Arial" w:cs="Arial"/>
          <w:sz w:val="22"/>
          <w:szCs w:val="22"/>
        </w:rPr>
        <w:t>………………………</w:t>
      </w:r>
      <w:proofErr w:type="spellEnd"/>
      <w:r>
        <w:rPr>
          <w:rFonts w:ascii="Arial" w:hAnsi="Arial" w:cs="Arial"/>
          <w:sz w:val="22"/>
          <w:szCs w:val="22"/>
        </w:rPr>
        <w:t>..</w:t>
      </w:r>
    </w:p>
    <w:p w:rsidR="00457C6B" w:rsidRDefault="0047703E">
      <w:pPr>
        <w:jc w:val="both"/>
        <w:rPr>
          <w:rFonts w:ascii="Arial" w:hAnsi="Arial" w:cs="Arial"/>
          <w:sz w:val="22"/>
          <w:szCs w:val="22"/>
        </w:rPr>
      </w:pPr>
      <w:r>
        <w:rPr>
          <w:rFonts w:ascii="Arial" w:hAnsi="Arial" w:cs="Arial"/>
          <w:sz w:val="22"/>
          <w:szCs w:val="22"/>
        </w:rPr>
        <w:t xml:space="preserve">Dalle comunicazioni ricevute risultano le seguenti passività potenziali probabili </w:t>
      </w:r>
      <w:proofErr w:type="spellStart"/>
      <w:r>
        <w:rPr>
          <w:rFonts w:ascii="Arial" w:hAnsi="Arial" w:cs="Arial"/>
          <w:sz w:val="22"/>
          <w:szCs w:val="22"/>
        </w:rPr>
        <w:t>…………………</w:t>
      </w:r>
      <w:proofErr w:type="spellEnd"/>
      <w:r>
        <w:rPr>
          <w:rFonts w:ascii="Arial" w:hAnsi="Arial" w:cs="Arial"/>
          <w:sz w:val="22"/>
          <w:szCs w:val="22"/>
        </w:rPr>
        <w:t xml:space="preserve"> al cui finanziamento l’ente intende provvedere con </w:t>
      </w:r>
      <w:proofErr w:type="spellStart"/>
      <w:r>
        <w:rPr>
          <w:rFonts w:ascii="Arial" w:hAnsi="Arial" w:cs="Arial"/>
          <w:sz w:val="22"/>
          <w:szCs w:val="22"/>
        </w:rPr>
        <w:t>………………………</w:t>
      </w:r>
      <w:proofErr w:type="spellEnd"/>
    </w:p>
    <w:p w:rsidR="00457C6B" w:rsidRDefault="00457C6B">
      <w:pPr>
        <w:jc w:val="both"/>
        <w:rPr>
          <w:rFonts w:ascii="Arial" w:hAnsi="Arial" w:cs="Arial"/>
          <w:sz w:val="22"/>
          <w:szCs w:val="22"/>
        </w:rPr>
      </w:pPr>
    </w:p>
    <w:p w:rsidR="00457C6B" w:rsidRDefault="00457C6B">
      <w:pPr>
        <w:tabs>
          <w:tab w:val="num" w:pos="1260"/>
        </w:tabs>
        <w:jc w:val="both"/>
        <w:rPr>
          <w:rFonts w:ascii="Arial" w:hAnsi="Arial" w:cs="Arial"/>
          <w:b/>
          <w:i/>
          <w:sz w:val="22"/>
          <w:szCs w:val="22"/>
          <w:u w:val="single"/>
        </w:rPr>
      </w:pPr>
    </w:p>
    <w:p w:rsidR="00457C6B" w:rsidRDefault="0047703E">
      <w:pPr>
        <w:tabs>
          <w:tab w:val="num" w:pos="1260"/>
        </w:tabs>
        <w:jc w:val="both"/>
        <w:rPr>
          <w:rFonts w:ascii="Arial" w:hAnsi="Arial" w:cs="Arial"/>
          <w:b/>
          <w:i/>
          <w:sz w:val="22"/>
          <w:szCs w:val="22"/>
          <w:u w:val="single"/>
        </w:rPr>
      </w:pPr>
      <w:r>
        <w:rPr>
          <w:rFonts w:ascii="Arial" w:hAnsi="Arial" w:cs="Arial"/>
          <w:b/>
          <w:i/>
          <w:sz w:val="22"/>
          <w:szCs w:val="22"/>
          <w:u w:val="single"/>
        </w:rPr>
        <w:t>Monitoraggio pagamento debiti</w:t>
      </w:r>
    </w:p>
    <w:p w:rsidR="00457C6B" w:rsidRDefault="0047703E">
      <w:pPr>
        <w:tabs>
          <w:tab w:val="num" w:pos="1260"/>
        </w:tabs>
        <w:jc w:val="both"/>
        <w:rPr>
          <w:rFonts w:ascii="Arial" w:hAnsi="Arial" w:cs="Arial"/>
          <w:sz w:val="22"/>
          <w:szCs w:val="22"/>
        </w:rPr>
      </w:pPr>
      <w:r>
        <w:rPr>
          <w:rFonts w:ascii="Arial" w:hAnsi="Arial" w:cs="Arial"/>
          <w:sz w:val="22"/>
          <w:szCs w:val="22"/>
        </w:rPr>
        <w:t>L’ente ha rispettato la disposizione dell’art.7 bis del d.l. 8/4/2013 n.35, relativa alla comunicazione, dall’1/7/2014, entro il 15 di ciascun mese dei dati relativi ai debiti certi, liquidi ed esigibili per somministrazioni, forniture e appalti nonché per obbligazioni relative a prestazioni professionali, per le quali nel mese precedente sia stato superato il termine per la decorrenza degli interessi moratori (art.4 d.lgs. 231/2002).</w:t>
      </w:r>
    </w:p>
    <w:p w:rsidR="00457C6B" w:rsidRDefault="0047703E">
      <w:pPr>
        <w:tabs>
          <w:tab w:val="num" w:pos="1260"/>
        </w:tabs>
        <w:jc w:val="both"/>
        <w:rPr>
          <w:rFonts w:ascii="Arial" w:hAnsi="Arial" w:cs="Arial"/>
          <w:sz w:val="22"/>
          <w:szCs w:val="22"/>
        </w:rPr>
      </w:pPr>
      <w:r>
        <w:rPr>
          <w:rFonts w:ascii="Arial" w:hAnsi="Arial" w:cs="Arial"/>
          <w:sz w:val="22"/>
          <w:szCs w:val="22"/>
        </w:rPr>
        <w:t xml:space="preserve">Dalla verifica della corretta attuazione delle misure non sono state rilevate irregolarità </w:t>
      </w:r>
      <w:r>
        <w:rPr>
          <w:rFonts w:ascii="Arial" w:hAnsi="Arial" w:cs="Arial"/>
          <w:color w:val="0000FF"/>
          <w:sz w:val="22"/>
          <w:szCs w:val="22"/>
        </w:rPr>
        <w:t xml:space="preserve">(oppure sono state rilevate le seguenti </w:t>
      </w:r>
      <w:proofErr w:type="spellStart"/>
      <w:r>
        <w:rPr>
          <w:rFonts w:ascii="Arial" w:hAnsi="Arial" w:cs="Arial"/>
          <w:color w:val="0000FF"/>
          <w:sz w:val="22"/>
          <w:szCs w:val="22"/>
        </w:rPr>
        <w:t>irregolarità………</w:t>
      </w:r>
      <w:proofErr w:type="spellEnd"/>
      <w:r>
        <w:rPr>
          <w:rFonts w:ascii="Arial" w:hAnsi="Arial" w:cs="Arial"/>
          <w:color w:val="0000FF"/>
          <w:sz w:val="22"/>
          <w:szCs w:val="22"/>
        </w:rPr>
        <w:t>.)</w:t>
      </w:r>
      <w:r>
        <w:rPr>
          <w:rFonts w:ascii="Arial" w:hAnsi="Arial" w:cs="Arial"/>
          <w:sz w:val="22"/>
          <w:szCs w:val="22"/>
        </w:rPr>
        <w:t>.</w:t>
      </w:r>
    </w:p>
    <w:p w:rsidR="00457C6B" w:rsidRDefault="0047703E">
      <w:pPr>
        <w:tabs>
          <w:tab w:val="num" w:pos="1260"/>
        </w:tabs>
        <w:jc w:val="both"/>
        <w:rPr>
          <w:rFonts w:ascii="Arial" w:hAnsi="Arial" w:cs="Arial"/>
          <w:sz w:val="22"/>
          <w:szCs w:val="22"/>
        </w:rPr>
      </w:pPr>
      <w:r>
        <w:rPr>
          <w:rFonts w:ascii="Arial" w:hAnsi="Arial" w:cs="Arial"/>
          <w:sz w:val="22"/>
          <w:szCs w:val="22"/>
        </w:rPr>
        <w:t xml:space="preserve">Il mancato rispetto dei termini di pagamento è stato motivato </w:t>
      </w:r>
      <w:proofErr w:type="spellStart"/>
      <w:r>
        <w:rPr>
          <w:rFonts w:ascii="Arial" w:hAnsi="Arial" w:cs="Arial"/>
          <w:sz w:val="22"/>
          <w:szCs w:val="22"/>
        </w:rPr>
        <w:t>da…………………………………………</w:t>
      </w:r>
      <w:proofErr w:type="spellEnd"/>
      <w:r>
        <w:rPr>
          <w:rFonts w:ascii="Arial" w:hAnsi="Arial" w:cs="Arial"/>
          <w:sz w:val="22"/>
          <w:szCs w:val="22"/>
        </w:rPr>
        <w:t xml:space="preserve">..l’importo degli interessi moratori impegnati nell’esercizio 2014 risulta di </w:t>
      </w:r>
      <w:proofErr w:type="spellStart"/>
      <w:r>
        <w:rPr>
          <w:rFonts w:ascii="Arial" w:hAnsi="Arial" w:cs="Arial"/>
          <w:sz w:val="22"/>
          <w:szCs w:val="22"/>
        </w:rPr>
        <w:t>euro………………</w:t>
      </w:r>
      <w:proofErr w:type="spellEnd"/>
      <w:r>
        <w:rPr>
          <w:rFonts w:ascii="Arial" w:hAnsi="Arial" w:cs="Arial"/>
          <w:sz w:val="22"/>
          <w:szCs w:val="22"/>
        </w:rPr>
        <w:t>..</w:t>
      </w:r>
    </w:p>
    <w:p w:rsidR="00457C6B" w:rsidRDefault="00457C6B">
      <w:pPr>
        <w:tabs>
          <w:tab w:val="num" w:pos="1260"/>
        </w:tabs>
        <w:jc w:val="both"/>
        <w:rPr>
          <w:rFonts w:ascii="Arial" w:hAnsi="Arial" w:cs="Arial"/>
          <w:sz w:val="22"/>
          <w:szCs w:val="22"/>
        </w:rPr>
      </w:pPr>
    </w:p>
    <w:p w:rsidR="00457C6B" w:rsidRDefault="00457C6B">
      <w:pPr>
        <w:tabs>
          <w:tab w:val="num" w:pos="1260"/>
        </w:tabs>
        <w:jc w:val="both"/>
        <w:rPr>
          <w:rFonts w:ascii="Arial" w:hAnsi="Arial" w:cs="Arial"/>
          <w:b/>
          <w:i/>
          <w:sz w:val="22"/>
          <w:szCs w:val="22"/>
          <w:u w:val="single"/>
        </w:rPr>
      </w:pPr>
    </w:p>
    <w:p w:rsidR="00457C6B" w:rsidRDefault="0047703E">
      <w:pPr>
        <w:tabs>
          <w:tab w:val="num" w:pos="1260"/>
        </w:tabs>
        <w:jc w:val="center"/>
        <w:rPr>
          <w:rFonts w:ascii="Arial" w:hAnsi="Arial" w:cs="Arial"/>
          <w:b/>
          <w:i/>
          <w:sz w:val="22"/>
          <w:szCs w:val="22"/>
          <w:u w:val="single"/>
        </w:rPr>
      </w:pPr>
      <w:r>
        <w:rPr>
          <w:rFonts w:ascii="Arial" w:hAnsi="Arial" w:cs="Arial"/>
          <w:b/>
          <w:i/>
          <w:sz w:val="22"/>
          <w:szCs w:val="22"/>
          <w:u w:val="single"/>
        </w:rPr>
        <w:t>Conclusioni sulla gestione pregressa</w:t>
      </w:r>
    </w:p>
    <w:p w:rsidR="00457C6B" w:rsidRDefault="0047703E">
      <w:pPr>
        <w:spacing w:before="120"/>
        <w:jc w:val="both"/>
        <w:rPr>
          <w:rFonts w:ascii="Arial" w:hAnsi="Arial" w:cs="Arial"/>
          <w:sz w:val="22"/>
          <w:szCs w:val="22"/>
        </w:rPr>
      </w:pPr>
      <w:r>
        <w:rPr>
          <w:rFonts w:ascii="Arial" w:hAnsi="Arial" w:cs="Arial"/>
          <w:sz w:val="22"/>
          <w:szCs w:val="22"/>
        </w:rPr>
        <w:t>L’organo di revisione ritiene, sulla base di quanto sopra esposta, che la gestione finanziaria complessiva dell’ente nel 2014 sia in equilibrio e che l’ente abbia rispettato gli obiettivi di finanza pubblica.</w:t>
      </w:r>
    </w:p>
    <w:p w:rsidR="00457C6B" w:rsidRDefault="0047703E">
      <w:pPr>
        <w:pStyle w:val="Corpodeltesto2"/>
        <w:pBdr>
          <w:top w:val="outset" w:sz="6" w:space="1" w:color="auto"/>
          <w:left w:val="outset" w:sz="6" w:space="4" w:color="auto"/>
          <w:bottom w:val="inset" w:sz="6" w:space="1" w:color="auto"/>
          <w:right w:val="inset" w:sz="6" w:space="4" w:color="auto"/>
        </w:pBdr>
        <w:jc w:val="both"/>
        <w:rPr>
          <w:color w:val="0000FF"/>
          <w:sz w:val="20"/>
        </w:rPr>
      </w:pPr>
      <w:r>
        <w:rPr>
          <w:sz w:val="20"/>
        </w:rPr>
        <w:tab/>
      </w:r>
      <w:r>
        <w:rPr>
          <w:sz w:val="20"/>
        </w:rPr>
        <w:tab/>
      </w:r>
      <w:r>
        <w:rPr>
          <w:sz w:val="20"/>
        </w:rPr>
        <w:tab/>
      </w:r>
      <w:r>
        <w:rPr>
          <w:sz w:val="20"/>
        </w:rPr>
        <w:tab/>
      </w:r>
      <w:r>
        <w:rPr>
          <w:sz w:val="20"/>
        </w:rPr>
        <w:tab/>
      </w:r>
      <w:r>
        <w:rPr>
          <w:sz w:val="20"/>
        </w:rPr>
        <w:tab/>
      </w:r>
      <w:r>
        <w:rPr>
          <w:sz w:val="20"/>
        </w:rPr>
        <w:tab/>
      </w:r>
      <w:r>
        <w:rPr>
          <w:color w:val="0000FF"/>
          <w:sz w:val="20"/>
        </w:rPr>
        <w:t>(oppure)</w:t>
      </w:r>
    </w:p>
    <w:p w:rsidR="00457C6B" w:rsidRDefault="00457C6B">
      <w:pPr>
        <w:pStyle w:val="Corpodeltesto2"/>
        <w:pBdr>
          <w:top w:val="outset" w:sz="6" w:space="1" w:color="auto"/>
          <w:left w:val="outset" w:sz="6" w:space="4" w:color="auto"/>
          <w:bottom w:val="inset" w:sz="6" w:space="1" w:color="auto"/>
          <w:right w:val="inset" w:sz="6" w:space="4" w:color="auto"/>
        </w:pBdr>
        <w:jc w:val="both"/>
        <w:rPr>
          <w:color w:val="0000FF"/>
          <w:sz w:val="20"/>
          <w:u w:val="single"/>
        </w:rPr>
      </w:pPr>
    </w:p>
    <w:p w:rsidR="00457C6B" w:rsidRDefault="0047703E">
      <w:pPr>
        <w:pStyle w:val="Corpodeltesto2"/>
        <w:pBdr>
          <w:top w:val="outset" w:sz="6" w:space="1" w:color="auto"/>
          <w:left w:val="outset" w:sz="6" w:space="4" w:color="auto"/>
          <w:bottom w:val="inset" w:sz="6" w:space="1" w:color="auto"/>
          <w:right w:val="inset" w:sz="6" w:space="4" w:color="auto"/>
        </w:pBdr>
        <w:jc w:val="both"/>
        <w:rPr>
          <w:sz w:val="20"/>
        </w:rPr>
      </w:pPr>
      <w:r>
        <w:rPr>
          <w:sz w:val="20"/>
        </w:rPr>
        <w:t xml:space="preserve">L’organo di revisione nel rilevare che la gestione finanziaria complessiva dell’ente nel 2014 è in squilibrio per i seguenti motivi </w:t>
      </w:r>
      <w:proofErr w:type="spellStart"/>
      <w:r>
        <w:rPr>
          <w:sz w:val="20"/>
        </w:rPr>
        <w:t>……………………</w:t>
      </w:r>
      <w:proofErr w:type="spellEnd"/>
      <w:r>
        <w:rPr>
          <w:sz w:val="20"/>
        </w:rPr>
        <w:t xml:space="preserve">. e che non sarà possibile rispettare i seguenti vincoli di finanza pubblica invita l’ente a </w:t>
      </w:r>
      <w:proofErr w:type="spellStart"/>
      <w:r>
        <w:rPr>
          <w:sz w:val="20"/>
        </w:rPr>
        <w:t>………………………</w:t>
      </w:r>
      <w:proofErr w:type="spellEnd"/>
      <w:r>
        <w:rPr>
          <w:sz w:val="20"/>
        </w:rPr>
        <w:t xml:space="preserve">. </w:t>
      </w:r>
    </w:p>
    <w:p w:rsidR="00457C6B" w:rsidRDefault="00457C6B"/>
    <w:p w:rsidR="00457C6B" w:rsidRDefault="0047703E">
      <w:pPr>
        <w:jc w:val="both"/>
        <w:rPr>
          <w:rFonts w:ascii="Arial" w:hAnsi="Arial" w:cs="Arial"/>
          <w:b/>
          <w:i/>
          <w:sz w:val="20"/>
          <w:szCs w:val="20"/>
          <w:u w:val="single"/>
        </w:rPr>
      </w:pPr>
      <w:r>
        <w:rPr>
          <w:rFonts w:ascii="Arial" w:hAnsi="Arial" w:cs="Arial"/>
          <w:b/>
          <w:i/>
          <w:sz w:val="20"/>
          <w:szCs w:val="20"/>
          <w:u w:val="single"/>
        </w:rPr>
        <w:br w:type="page"/>
      </w:r>
    </w:p>
    <w:p w:rsidR="00457C6B" w:rsidRDefault="0047703E">
      <w:pPr>
        <w:pStyle w:val="Sottotitolo"/>
        <w:jc w:val="left"/>
        <w:rPr>
          <w:rFonts w:ascii="Arial" w:hAnsi="Arial" w:cs="Arial"/>
          <w:b/>
        </w:rPr>
      </w:pPr>
      <w:r>
        <w:rPr>
          <w:rFonts w:ascii="Arial" w:hAnsi="Arial" w:cs="Arial"/>
          <w:b/>
        </w:rPr>
        <w:lastRenderedPageBreak/>
        <w:t>AVVIO DELLA ARMONIZZAZIONE CONTABILE</w:t>
      </w:r>
    </w:p>
    <w:p w:rsidR="00457C6B" w:rsidRDefault="00457C6B">
      <w:pPr>
        <w:pStyle w:val="Paragrafoelenco"/>
        <w:ind w:left="0"/>
        <w:jc w:val="both"/>
        <w:rPr>
          <w:rFonts w:ascii="Arial" w:hAnsi="Arial" w:cs="Arial"/>
          <w:b/>
          <w:sz w:val="22"/>
          <w:szCs w:val="22"/>
        </w:rPr>
      </w:pPr>
    </w:p>
    <w:p w:rsidR="00457C6B" w:rsidRDefault="0047703E">
      <w:pPr>
        <w:pStyle w:val="Paragrafoelenco"/>
        <w:ind w:left="0"/>
        <w:jc w:val="both"/>
        <w:rPr>
          <w:rFonts w:ascii="Arial" w:hAnsi="Arial" w:cs="Arial"/>
          <w:b/>
          <w:sz w:val="22"/>
          <w:szCs w:val="22"/>
        </w:rPr>
      </w:pPr>
      <w:r>
        <w:rPr>
          <w:rFonts w:ascii="Arial" w:hAnsi="Arial" w:cs="Arial"/>
          <w:b/>
          <w:sz w:val="22"/>
          <w:szCs w:val="22"/>
        </w:rPr>
        <w:t xml:space="preserve">Riclassificazione per missioni e programmi dei capitoli del PEG  </w:t>
      </w:r>
    </w:p>
    <w:p w:rsidR="00457C6B" w:rsidRDefault="0047703E">
      <w:pPr>
        <w:pStyle w:val="Paragrafoelenco"/>
        <w:ind w:left="0"/>
        <w:jc w:val="both"/>
        <w:rPr>
          <w:rFonts w:ascii="Arial" w:hAnsi="Arial" w:cs="Arial"/>
          <w:sz w:val="22"/>
          <w:szCs w:val="22"/>
        </w:rPr>
      </w:pPr>
      <w:r>
        <w:rPr>
          <w:rFonts w:ascii="Arial" w:hAnsi="Arial" w:cs="Arial"/>
          <w:sz w:val="22"/>
          <w:szCs w:val="22"/>
        </w:rPr>
        <w:t xml:space="preserve">Al fine dell’elaborazione del bilancio di previsione per missioni e programmi a carattere conoscitivo, da affiancare al bilancio di previsione </w:t>
      </w:r>
      <w:proofErr w:type="spellStart"/>
      <w:r>
        <w:rPr>
          <w:rFonts w:ascii="Arial" w:hAnsi="Arial" w:cs="Arial"/>
          <w:sz w:val="22"/>
          <w:szCs w:val="22"/>
        </w:rPr>
        <w:t>autorizzatorio</w:t>
      </w:r>
      <w:proofErr w:type="spellEnd"/>
      <w:r>
        <w:rPr>
          <w:rFonts w:ascii="Arial" w:hAnsi="Arial" w:cs="Arial"/>
          <w:sz w:val="22"/>
          <w:szCs w:val="22"/>
        </w:rPr>
        <w:t xml:space="preserve"> predisposto secondo lo schema vigente nel 2014, l’ente ha proceduto alla riclassificazione dei capitoli e degli articoli del PEG </w:t>
      </w:r>
      <w:r>
        <w:rPr>
          <w:rFonts w:ascii="Arial" w:hAnsi="Arial" w:cs="Arial"/>
          <w:i/>
          <w:sz w:val="22"/>
          <w:szCs w:val="22"/>
        </w:rPr>
        <w:t xml:space="preserve"> </w:t>
      </w:r>
      <w:r>
        <w:rPr>
          <w:rFonts w:ascii="Arial" w:hAnsi="Arial" w:cs="Arial"/>
          <w:sz w:val="22"/>
          <w:szCs w:val="22"/>
        </w:rPr>
        <w:t>per missioni e programmi, avvalendosi dell’apposito glossario (allegato n. 14/2 al DLgs 118/2011). La nuova classificazione affianca la vecchia, in modo da consentire, a partire dal medesimo bilancio gestionale/PEG, l’elaborazione del bilancio di previsione secondo i due schemi.</w:t>
      </w:r>
    </w:p>
    <w:p w:rsidR="00457C6B" w:rsidRDefault="00457C6B">
      <w:pPr>
        <w:jc w:val="both"/>
        <w:rPr>
          <w:rFonts w:ascii="Arial" w:hAnsi="Arial" w:cs="Arial"/>
          <w:b/>
          <w:sz w:val="20"/>
          <w:szCs w:val="20"/>
          <w:u w:val="single"/>
        </w:rPr>
      </w:pPr>
    </w:p>
    <w:p w:rsidR="00457C6B" w:rsidRDefault="00457C6B">
      <w:pPr>
        <w:jc w:val="both"/>
        <w:rPr>
          <w:rFonts w:ascii="Arial" w:hAnsi="Arial" w:cs="Arial"/>
          <w:b/>
          <w:i/>
          <w:sz w:val="20"/>
          <w:szCs w:val="20"/>
          <w:u w:val="single"/>
        </w:rPr>
      </w:pPr>
    </w:p>
    <w:p w:rsidR="00457C6B" w:rsidRDefault="0047703E">
      <w:pPr>
        <w:jc w:val="both"/>
        <w:rPr>
          <w:rFonts w:ascii="Arial" w:hAnsi="Arial" w:cs="Arial"/>
          <w:b/>
          <w:sz w:val="22"/>
          <w:szCs w:val="22"/>
          <w:u w:val="single"/>
        </w:rPr>
      </w:pPr>
      <w:r>
        <w:rPr>
          <w:rFonts w:ascii="Arial" w:hAnsi="Arial" w:cs="Arial"/>
          <w:b/>
          <w:sz w:val="22"/>
          <w:szCs w:val="22"/>
          <w:u w:val="single"/>
        </w:rPr>
        <w:t>Situazione di cassa e determinazione cassa vincolata</w:t>
      </w:r>
    </w:p>
    <w:p w:rsidR="00457C6B" w:rsidRDefault="0047703E">
      <w:pPr>
        <w:tabs>
          <w:tab w:val="num" w:pos="1260"/>
        </w:tabs>
        <w:jc w:val="both"/>
        <w:rPr>
          <w:rFonts w:ascii="Arial" w:hAnsi="Arial" w:cs="Arial"/>
          <w:sz w:val="22"/>
          <w:szCs w:val="22"/>
        </w:rPr>
      </w:pPr>
      <w:r>
        <w:rPr>
          <w:rFonts w:ascii="Arial" w:hAnsi="Arial" w:cs="Arial"/>
          <w:sz w:val="22"/>
          <w:szCs w:val="22"/>
        </w:rPr>
        <w:t xml:space="preserve">La </w:t>
      </w:r>
      <w:r>
        <w:rPr>
          <w:rFonts w:ascii="Arial" w:hAnsi="Arial" w:cs="Arial"/>
          <w:bCs/>
          <w:sz w:val="22"/>
          <w:szCs w:val="22"/>
        </w:rPr>
        <w:t>situazione di cassa</w:t>
      </w:r>
      <w:r>
        <w:rPr>
          <w:rFonts w:ascii="Arial" w:hAnsi="Arial" w:cs="Arial"/>
          <w:sz w:val="22"/>
          <w:szCs w:val="22"/>
        </w:rPr>
        <w:t xml:space="preserve"> dell´Ente al 31 dicembre degli ultimi tre esercizi presenta i seguenti risultati: </w:t>
      </w:r>
    </w:p>
    <w:tbl>
      <w:tblPr>
        <w:tblW w:w="8980" w:type="dxa"/>
        <w:tblInd w:w="55" w:type="dxa"/>
        <w:tblCellMar>
          <w:left w:w="70" w:type="dxa"/>
          <w:right w:w="70" w:type="dxa"/>
        </w:tblCellMar>
        <w:tblLook w:val="00A0"/>
      </w:tblPr>
      <w:tblGrid>
        <w:gridCol w:w="4660"/>
        <w:gridCol w:w="1440"/>
        <w:gridCol w:w="1440"/>
        <w:gridCol w:w="1440"/>
      </w:tblGrid>
      <w:tr w:rsidR="00457C6B">
        <w:trPr>
          <w:trHeight w:val="255"/>
        </w:trPr>
        <w:tc>
          <w:tcPr>
            <w:tcW w:w="4660" w:type="dxa"/>
            <w:tcBorders>
              <w:top w:val="nil"/>
              <w:left w:val="nil"/>
              <w:bottom w:val="nil"/>
              <w:right w:val="nil"/>
            </w:tcBorders>
            <w:noWrap/>
            <w:vAlign w:val="bottom"/>
          </w:tcPr>
          <w:p w:rsidR="00457C6B" w:rsidRDefault="0047703E">
            <w:pPr>
              <w:jc w:val="right"/>
              <w:rPr>
                <w:rFonts w:ascii="Arial" w:hAnsi="Arial" w:cs="Arial"/>
                <w:sz w:val="16"/>
                <w:szCs w:val="16"/>
              </w:rPr>
            </w:pPr>
            <w:r>
              <w:rPr>
                <w:rFonts w:ascii="Arial" w:hAnsi="Arial" w:cs="Arial"/>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noWrap/>
            <w:vAlign w:val="bottom"/>
          </w:tcPr>
          <w:p w:rsidR="00457C6B" w:rsidRDefault="0047703E">
            <w:pPr>
              <w:jc w:val="center"/>
              <w:rPr>
                <w:rFonts w:ascii="Arial" w:hAnsi="Arial" w:cs="Arial"/>
                <w:b/>
                <w:bCs/>
                <w:sz w:val="20"/>
                <w:szCs w:val="20"/>
              </w:rPr>
            </w:pPr>
            <w:r>
              <w:rPr>
                <w:rFonts w:ascii="Arial" w:hAnsi="Arial" w:cs="Arial"/>
                <w:b/>
                <w:bCs/>
                <w:sz w:val="20"/>
                <w:szCs w:val="20"/>
              </w:rPr>
              <w:t>2012</w:t>
            </w:r>
          </w:p>
        </w:tc>
        <w:tc>
          <w:tcPr>
            <w:tcW w:w="1440" w:type="dxa"/>
            <w:tcBorders>
              <w:top w:val="single" w:sz="4" w:space="0" w:color="auto"/>
              <w:left w:val="nil"/>
              <w:bottom w:val="single" w:sz="4" w:space="0" w:color="auto"/>
              <w:right w:val="single" w:sz="4" w:space="0" w:color="auto"/>
            </w:tcBorders>
            <w:noWrap/>
            <w:vAlign w:val="bottom"/>
          </w:tcPr>
          <w:p w:rsidR="00457C6B" w:rsidRDefault="0047703E">
            <w:pPr>
              <w:jc w:val="center"/>
              <w:rPr>
                <w:rFonts w:ascii="Arial" w:hAnsi="Arial" w:cs="Arial"/>
                <w:b/>
                <w:bCs/>
                <w:sz w:val="20"/>
                <w:szCs w:val="20"/>
              </w:rPr>
            </w:pPr>
            <w:r>
              <w:rPr>
                <w:rFonts w:ascii="Arial" w:hAnsi="Arial" w:cs="Arial"/>
                <w:b/>
                <w:bCs/>
                <w:sz w:val="20"/>
                <w:szCs w:val="20"/>
              </w:rPr>
              <w:t>2013</w:t>
            </w:r>
          </w:p>
        </w:tc>
        <w:tc>
          <w:tcPr>
            <w:tcW w:w="1440" w:type="dxa"/>
            <w:tcBorders>
              <w:top w:val="single" w:sz="4" w:space="0" w:color="auto"/>
              <w:left w:val="nil"/>
              <w:bottom w:val="single" w:sz="4" w:space="0" w:color="auto"/>
              <w:right w:val="single" w:sz="4" w:space="0" w:color="auto"/>
            </w:tcBorders>
            <w:noWrap/>
            <w:vAlign w:val="bottom"/>
          </w:tcPr>
          <w:p w:rsidR="00457C6B" w:rsidRDefault="0047703E">
            <w:pPr>
              <w:jc w:val="center"/>
              <w:rPr>
                <w:rFonts w:ascii="Arial" w:hAnsi="Arial" w:cs="Arial"/>
                <w:b/>
                <w:bCs/>
                <w:sz w:val="20"/>
                <w:szCs w:val="20"/>
              </w:rPr>
            </w:pPr>
            <w:r>
              <w:rPr>
                <w:rFonts w:ascii="Arial" w:hAnsi="Arial" w:cs="Arial"/>
                <w:b/>
                <w:bCs/>
                <w:sz w:val="20"/>
                <w:szCs w:val="20"/>
              </w:rPr>
              <w:t>2014</w:t>
            </w:r>
          </w:p>
        </w:tc>
      </w:tr>
      <w:tr w:rsidR="00457C6B">
        <w:trPr>
          <w:trHeight w:val="255"/>
        </w:trPr>
        <w:tc>
          <w:tcPr>
            <w:tcW w:w="4660" w:type="dxa"/>
            <w:tcBorders>
              <w:top w:val="single" w:sz="4" w:space="0" w:color="auto"/>
              <w:left w:val="single" w:sz="4" w:space="0" w:color="auto"/>
              <w:bottom w:val="single" w:sz="4" w:space="0" w:color="auto"/>
              <w:right w:val="single" w:sz="4" w:space="0" w:color="auto"/>
            </w:tcBorders>
            <w:vAlign w:val="center"/>
          </w:tcPr>
          <w:p w:rsidR="00457C6B" w:rsidRDefault="0047703E">
            <w:pPr>
              <w:jc w:val="center"/>
              <w:rPr>
                <w:rFonts w:ascii="Arial" w:hAnsi="Arial" w:cs="Arial"/>
                <w:b/>
                <w:bCs/>
                <w:sz w:val="20"/>
                <w:szCs w:val="20"/>
              </w:rPr>
            </w:pPr>
            <w:r>
              <w:rPr>
                <w:rFonts w:ascii="Arial" w:hAnsi="Arial" w:cs="Arial"/>
                <w:b/>
                <w:bCs/>
                <w:sz w:val="20"/>
                <w:szCs w:val="20"/>
              </w:rPr>
              <w:t>Disponibilità</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r>
      <w:tr w:rsidR="00457C6B">
        <w:trPr>
          <w:trHeight w:val="255"/>
        </w:trPr>
        <w:tc>
          <w:tcPr>
            <w:tcW w:w="4660" w:type="dxa"/>
            <w:tcBorders>
              <w:top w:val="nil"/>
              <w:left w:val="single" w:sz="4" w:space="0" w:color="auto"/>
              <w:bottom w:val="single" w:sz="4" w:space="0" w:color="auto"/>
              <w:right w:val="single" w:sz="4" w:space="0" w:color="auto"/>
            </w:tcBorders>
            <w:vAlign w:val="center"/>
          </w:tcPr>
          <w:p w:rsidR="00457C6B" w:rsidRDefault="0047703E">
            <w:pPr>
              <w:jc w:val="center"/>
              <w:rPr>
                <w:rFonts w:ascii="Arial" w:hAnsi="Arial" w:cs="Arial"/>
                <w:b/>
                <w:bCs/>
                <w:sz w:val="20"/>
                <w:szCs w:val="20"/>
              </w:rPr>
            </w:pPr>
            <w:r>
              <w:rPr>
                <w:rFonts w:ascii="Arial" w:hAnsi="Arial" w:cs="Arial"/>
                <w:b/>
                <w:bCs/>
                <w:sz w:val="20"/>
                <w:szCs w:val="20"/>
              </w:rPr>
              <w:t>Anticipazioni</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c>
          <w:tcPr>
            <w:tcW w:w="1440" w:type="dxa"/>
            <w:tcBorders>
              <w:top w:val="nil"/>
              <w:left w:val="nil"/>
              <w:bottom w:val="single" w:sz="4" w:space="0" w:color="auto"/>
              <w:right w:val="single" w:sz="4" w:space="0" w:color="auto"/>
            </w:tcBorders>
            <w:noWrap/>
            <w:vAlign w:val="center"/>
          </w:tcPr>
          <w:p w:rsidR="00457C6B" w:rsidRDefault="0047703E">
            <w:pPr>
              <w:jc w:val="right"/>
              <w:rPr>
                <w:rFonts w:ascii="Arial" w:hAnsi="Arial" w:cs="Arial"/>
                <w:sz w:val="18"/>
                <w:szCs w:val="18"/>
              </w:rPr>
            </w:pPr>
            <w:r>
              <w:rPr>
                <w:rFonts w:ascii="Arial" w:hAnsi="Arial" w:cs="Arial"/>
                <w:sz w:val="18"/>
                <w:szCs w:val="18"/>
              </w:rPr>
              <w:t xml:space="preserve">0,00 </w:t>
            </w:r>
          </w:p>
        </w:tc>
      </w:tr>
    </w:tbl>
    <w:p w:rsidR="00457C6B" w:rsidRDefault="00457C6B">
      <w:pPr>
        <w:pStyle w:val="Paragrafoelenco"/>
        <w:ind w:left="0"/>
        <w:jc w:val="both"/>
        <w:rPr>
          <w:rFonts w:ascii="Arial" w:hAnsi="Arial" w:cs="Arial"/>
          <w:sz w:val="22"/>
          <w:szCs w:val="22"/>
        </w:rPr>
      </w:pPr>
    </w:p>
    <w:p w:rsidR="00457C6B" w:rsidRDefault="0047703E">
      <w:pPr>
        <w:pStyle w:val="Paragrafoelenco"/>
        <w:ind w:left="0"/>
        <w:jc w:val="both"/>
        <w:rPr>
          <w:rFonts w:ascii="Arial" w:hAnsi="Arial" w:cs="Arial"/>
          <w:sz w:val="22"/>
          <w:szCs w:val="22"/>
        </w:rPr>
      </w:pPr>
      <w:r>
        <w:rPr>
          <w:rFonts w:ascii="Arial" w:hAnsi="Arial" w:cs="Arial"/>
          <w:sz w:val="22"/>
          <w:szCs w:val="22"/>
        </w:rPr>
        <w:t>In attuazione del principio applicato della contabilità finanziaria n. 10.6, al fine di dare corretta attuazione all’articolo 195 del TUEL, l’ente ha provveduto a calcolare ed a comunicare formalmente al proprio tesoriere l’importo degli incassi vincolati alla data del 31 dicembre 2014 che provvede a “vincolare.</w:t>
      </w:r>
    </w:p>
    <w:p w:rsidR="00457C6B" w:rsidRDefault="0047703E">
      <w:pPr>
        <w:pStyle w:val="Paragrafoelenco"/>
        <w:ind w:left="0"/>
        <w:jc w:val="both"/>
        <w:rPr>
          <w:rFonts w:ascii="Arial" w:hAnsi="Arial" w:cs="Arial"/>
          <w:sz w:val="22"/>
          <w:szCs w:val="22"/>
        </w:rPr>
      </w:pPr>
      <w:r>
        <w:rPr>
          <w:rFonts w:ascii="Arial" w:hAnsi="Arial" w:cs="Arial"/>
          <w:sz w:val="22"/>
          <w:szCs w:val="22"/>
        </w:rPr>
        <w:t xml:space="preserve">L’entità della cassa vincolata al 31/12/2014 risulta di euro </w:t>
      </w:r>
      <w:proofErr w:type="spellStart"/>
      <w:r>
        <w:rPr>
          <w:rFonts w:ascii="Arial" w:hAnsi="Arial" w:cs="Arial"/>
          <w:sz w:val="22"/>
          <w:szCs w:val="22"/>
        </w:rPr>
        <w:t>…………….e</w:t>
      </w:r>
      <w:proofErr w:type="spellEnd"/>
      <w:r>
        <w:rPr>
          <w:rFonts w:ascii="Arial" w:hAnsi="Arial" w:cs="Arial"/>
          <w:sz w:val="22"/>
          <w:szCs w:val="22"/>
        </w:rPr>
        <w:t xml:space="preserve"> quella libera di </w:t>
      </w:r>
      <w:proofErr w:type="spellStart"/>
      <w:r>
        <w:rPr>
          <w:rFonts w:ascii="Arial" w:hAnsi="Arial" w:cs="Arial"/>
          <w:sz w:val="22"/>
          <w:szCs w:val="22"/>
        </w:rPr>
        <w:t>euro……………</w:t>
      </w:r>
      <w:proofErr w:type="spellEnd"/>
      <w:r>
        <w:rPr>
          <w:rFonts w:ascii="Arial" w:hAnsi="Arial" w:cs="Arial"/>
          <w:sz w:val="22"/>
          <w:szCs w:val="22"/>
        </w:rPr>
        <w:t>.</w:t>
      </w:r>
    </w:p>
    <w:p w:rsidR="00457C6B" w:rsidRDefault="00457C6B">
      <w:pPr>
        <w:pStyle w:val="Paragrafoelenco"/>
        <w:ind w:left="426"/>
        <w:jc w:val="both"/>
      </w:pPr>
    </w:p>
    <w:p w:rsidR="00457C6B" w:rsidRDefault="0047703E">
      <w:pPr>
        <w:pStyle w:val="Paragrafoelenco"/>
        <w:pBdr>
          <w:top w:val="single" w:sz="4" w:space="1" w:color="auto"/>
          <w:left w:val="single" w:sz="4" w:space="4" w:color="auto"/>
          <w:bottom w:val="single" w:sz="4" w:space="1" w:color="auto"/>
          <w:right w:val="single" w:sz="4" w:space="4" w:color="auto"/>
        </w:pBdr>
        <w:ind w:left="0"/>
        <w:jc w:val="both"/>
        <w:rPr>
          <w:rFonts w:ascii="Arial" w:hAnsi="Arial" w:cs="Arial"/>
          <w:color w:val="0000FF"/>
          <w:sz w:val="20"/>
          <w:szCs w:val="20"/>
        </w:rPr>
      </w:pPr>
      <w:r>
        <w:rPr>
          <w:rFonts w:ascii="Arial" w:hAnsi="Arial" w:cs="Arial"/>
          <w:color w:val="0000FF"/>
          <w:sz w:val="20"/>
          <w:szCs w:val="20"/>
        </w:rPr>
        <w:t>Se le disponibilità liquide dell’ente  alla data del 31 dicembre 2014 sono inferiori all’importo comunicato al tesoriere, vuol dire che la differenza è stata utilizzata per il pagamento di spese correnti ai sensi dell’articolo 195, comma 1 e, nel rispetto di tale norma, è necessario che tale utilizzo delle giacenze vincolate sia oggetto di registrazione contabile secondo le modalità previste nel principio applicato della contabilità finanziaria n. 10.</w:t>
      </w:r>
    </w:p>
    <w:p w:rsidR="00457C6B" w:rsidRDefault="00457C6B">
      <w:pPr>
        <w:tabs>
          <w:tab w:val="num" w:pos="1260"/>
        </w:tabs>
        <w:jc w:val="both"/>
        <w:rPr>
          <w:rFonts w:ascii="Arial" w:hAnsi="Arial" w:cs="Arial"/>
          <w:b/>
          <w:i/>
          <w:sz w:val="20"/>
          <w:szCs w:val="20"/>
          <w:u w:val="single"/>
        </w:rPr>
      </w:pPr>
    </w:p>
    <w:p w:rsidR="00457C6B" w:rsidRDefault="0047703E">
      <w:pPr>
        <w:pStyle w:val="Paragrafoelenco"/>
        <w:tabs>
          <w:tab w:val="left" w:pos="284"/>
        </w:tabs>
        <w:ind w:left="0"/>
        <w:jc w:val="both"/>
        <w:rPr>
          <w:rFonts w:ascii="Arial" w:hAnsi="Arial" w:cs="Arial"/>
          <w:sz w:val="22"/>
          <w:szCs w:val="22"/>
          <w:u w:val="single"/>
        </w:rPr>
      </w:pPr>
      <w:proofErr w:type="spellStart"/>
      <w:r>
        <w:rPr>
          <w:rFonts w:ascii="Arial" w:hAnsi="Arial" w:cs="Arial"/>
          <w:b/>
          <w:sz w:val="22"/>
          <w:szCs w:val="22"/>
          <w:u w:val="single"/>
        </w:rPr>
        <w:t>Riaccertamento</w:t>
      </w:r>
      <w:proofErr w:type="spellEnd"/>
      <w:r>
        <w:rPr>
          <w:rFonts w:ascii="Arial" w:hAnsi="Arial" w:cs="Arial"/>
          <w:b/>
          <w:sz w:val="22"/>
          <w:szCs w:val="22"/>
          <w:u w:val="single"/>
        </w:rPr>
        <w:t xml:space="preserve"> straordinario dei residui attivi e passivi, in parallelo al </w:t>
      </w:r>
      <w:proofErr w:type="spellStart"/>
      <w:r>
        <w:rPr>
          <w:rFonts w:ascii="Arial" w:hAnsi="Arial" w:cs="Arial"/>
          <w:b/>
          <w:sz w:val="22"/>
          <w:szCs w:val="22"/>
          <w:u w:val="single"/>
        </w:rPr>
        <w:t>riaccertamento</w:t>
      </w:r>
      <w:proofErr w:type="spellEnd"/>
      <w:r>
        <w:rPr>
          <w:rFonts w:ascii="Arial" w:hAnsi="Arial" w:cs="Arial"/>
          <w:b/>
          <w:sz w:val="22"/>
          <w:szCs w:val="22"/>
          <w:u w:val="single"/>
        </w:rPr>
        <w:t xml:space="preserve"> ordinario ai fini del rendiconto 2014. </w:t>
      </w:r>
    </w:p>
    <w:p w:rsidR="00457C6B" w:rsidRDefault="0047703E">
      <w:pPr>
        <w:pStyle w:val="Paragrafoelenco"/>
        <w:ind w:left="0"/>
        <w:jc w:val="both"/>
        <w:rPr>
          <w:rFonts w:ascii="Arial" w:hAnsi="Arial" w:cs="Arial"/>
          <w:sz w:val="22"/>
          <w:szCs w:val="22"/>
        </w:rPr>
      </w:pPr>
      <w:r>
        <w:rPr>
          <w:rFonts w:ascii="Arial" w:hAnsi="Arial" w:cs="Arial"/>
          <w:sz w:val="22"/>
          <w:szCs w:val="22"/>
        </w:rPr>
        <w:t xml:space="preserve">Al fine di consentire il </w:t>
      </w:r>
      <w:proofErr w:type="spellStart"/>
      <w:r>
        <w:rPr>
          <w:rFonts w:ascii="Arial" w:hAnsi="Arial" w:cs="Arial"/>
          <w:sz w:val="22"/>
          <w:szCs w:val="22"/>
        </w:rPr>
        <w:t>riaccertamento</w:t>
      </w:r>
      <w:proofErr w:type="spellEnd"/>
      <w:r>
        <w:rPr>
          <w:rFonts w:ascii="Arial" w:hAnsi="Arial" w:cs="Arial"/>
          <w:sz w:val="22"/>
          <w:szCs w:val="22"/>
        </w:rPr>
        <w:t xml:space="preserve"> straordinario dei residui previsto dall’articolo 3, comma 7, del decreto legislativo n. 118/2011 e successive modifiche, l’ente ha avviato  una ricognizione di tutti i residui, attivi e passivi, al 31 dicembre 2014, funzionale sia al </w:t>
      </w:r>
      <w:proofErr w:type="spellStart"/>
      <w:r>
        <w:rPr>
          <w:rFonts w:ascii="Arial" w:hAnsi="Arial" w:cs="Arial"/>
          <w:sz w:val="22"/>
          <w:szCs w:val="22"/>
        </w:rPr>
        <w:t>riaccertamento</w:t>
      </w:r>
      <w:proofErr w:type="spellEnd"/>
      <w:r>
        <w:rPr>
          <w:rFonts w:ascii="Arial" w:hAnsi="Arial" w:cs="Arial"/>
          <w:sz w:val="22"/>
          <w:szCs w:val="22"/>
        </w:rPr>
        <w:t xml:space="preserve"> ordinario (da effettuare sulla base dell’ordinamento contabile vigente nel 2014), sia ai fini del </w:t>
      </w:r>
      <w:proofErr w:type="spellStart"/>
      <w:r>
        <w:rPr>
          <w:rFonts w:ascii="Arial" w:hAnsi="Arial" w:cs="Arial"/>
          <w:sz w:val="22"/>
          <w:szCs w:val="22"/>
        </w:rPr>
        <w:t>riaccertamento</w:t>
      </w:r>
      <w:proofErr w:type="spellEnd"/>
      <w:r>
        <w:rPr>
          <w:rFonts w:ascii="Arial" w:hAnsi="Arial" w:cs="Arial"/>
          <w:sz w:val="22"/>
          <w:szCs w:val="22"/>
        </w:rPr>
        <w:t xml:space="preserve"> straordinario (da effettuare sulla base di quanto previsto dalla riforma). </w:t>
      </w:r>
    </w:p>
    <w:p w:rsidR="00457C6B" w:rsidRDefault="0047703E">
      <w:pPr>
        <w:pStyle w:val="Paragrafoelenco"/>
        <w:ind w:left="0"/>
        <w:jc w:val="both"/>
        <w:rPr>
          <w:rFonts w:ascii="Arial" w:hAnsi="Arial" w:cs="Arial"/>
          <w:sz w:val="22"/>
          <w:szCs w:val="22"/>
        </w:rPr>
      </w:pPr>
      <w:r>
        <w:rPr>
          <w:rFonts w:ascii="Arial" w:hAnsi="Arial" w:cs="Arial"/>
          <w:sz w:val="22"/>
          <w:szCs w:val="22"/>
        </w:rPr>
        <w:t>Sulla base dei risultati della ricognizione, l’ente determinerà il fondo pluriennale vincolato ed il risultato di amministrazione al 1° gennaio 2015.</w:t>
      </w:r>
    </w:p>
    <w:p w:rsidR="00457C6B" w:rsidRDefault="0047703E">
      <w:r>
        <w:br w:type="page"/>
      </w:r>
    </w:p>
    <w:p w:rsidR="00457C6B" w:rsidRDefault="0047703E">
      <w:pPr>
        <w:pStyle w:val="Titolo1"/>
      </w:pPr>
      <w:bookmarkStart w:id="6" w:name="_Toc408988056"/>
      <w:r>
        <w:lastRenderedPageBreak/>
        <w:t xml:space="preserve">BILANCIO </w:t>
      </w:r>
      <w:proofErr w:type="spellStart"/>
      <w:r>
        <w:t>DI</w:t>
      </w:r>
      <w:proofErr w:type="spellEnd"/>
      <w:r>
        <w:t xml:space="preserve"> PREVISIONE 2015</w:t>
      </w:r>
      <w:bookmarkEnd w:id="6"/>
    </w:p>
    <w:p w:rsidR="00457C6B" w:rsidRDefault="00457C6B">
      <w:pPr>
        <w:pStyle w:val="Corpodeltesto2"/>
        <w:jc w:val="both"/>
        <w:rPr>
          <w:b/>
          <w:sz w:val="20"/>
          <w:u w:val="single"/>
        </w:rPr>
      </w:pPr>
    </w:p>
    <w:p w:rsidR="00457C6B" w:rsidRDefault="0047703E">
      <w:pPr>
        <w:pStyle w:val="Titolo2"/>
      </w:pPr>
      <w:bookmarkStart w:id="7" w:name="_Toc408988057"/>
      <w:r>
        <w:t>1. Verifica pareggio finanziario ed equivalenza dei servizi per c/terzi</w:t>
      </w:r>
      <w:bookmarkEnd w:id="7"/>
    </w:p>
    <w:p w:rsidR="00457C6B" w:rsidRDefault="00457C6B">
      <w:pPr>
        <w:pStyle w:val="Corpodeltesto2"/>
        <w:jc w:val="both"/>
        <w:rPr>
          <w:b/>
          <w:sz w:val="20"/>
          <w:u w:val="single"/>
        </w:rPr>
      </w:pPr>
    </w:p>
    <w:p w:rsidR="00457C6B" w:rsidRDefault="0047703E">
      <w:pPr>
        <w:pStyle w:val="Corpodeltesto2"/>
        <w:spacing w:before="120"/>
        <w:jc w:val="both"/>
        <w:rPr>
          <w:sz w:val="20"/>
        </w:rPr>
      </w:pPr>
      <w:r>
        <w:rPr>
          <w:sz w:val="20"/>
        </w:rPr>
        <w:t xml:space="preserve">Il bilancio rispetta, come risulta dal seguente quadro generale riassuntivo delle previsioni di competenza 2015, il principio del pareggio finanziario (art. 162, comma 5, del </w:t>
      </w:r>
      <w:r>
        <w:rPr>
          <w:sz w:val="20"/>
          <w:szCs w:val="20"/>
        </w:rPr>
        <w:t>TUEL</w:t>
      </w:r>
      <w:r>
        <w:rPr>
          <w:sz w:val="20"/>
        </w:rPr>
        <w:t>) e dell’equivalenza fra entrate e spese per servizi per conto terzi (art. 168 del d.lgs.18/8/2000 n.267).</w:t>
      </w:r>
    </w:p>
    <w:p w:rsidR="0052759F" w:rsidRDefault="0052759F">
      <w:pPr>
        <w:pStyle w:val="Corpodeltesto2"/>
        <w:spacing w:before="120"/>
        <w:jc w:val="both"/>
        <w:rPr>
          <w:sz w:val="20"/>
        </w:rPr>
      </w:pPr>
    </w:p>
    <w:bookmarkStart w:id="8" w:name="_MON_1483877052"/>
    <w:bookmarkEnd w:id="8"/>
    <w:p w:rsidR="009D62E7" w:rsidRDefault="007B3C1F">
      <w:pPr>
        <w:pStyle w:val="Corpodeltesto2"/>
        <w:spacing w:before="120"/>
        <w:jc w:val="both"/>
        <w:rPr>
          <w:sz w:val="20"/>
        </w:rPr>
      </w:pPr>
      <w:r w:rsidRPr="00824CF3">
        <w:rPr>
          <w:sz w:val="20"/>
        </w:rPr>
        <w:object w:dxaOrig="9968" w:dyaOrig="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55pt;height:227.55pt" o:ole="">
            <v:imagedata r:id="rId9" o:title=""/>
          </v:shape>
          <o:OLEObject Type="Embed" ProgID="Excel.Sheet.8" ShapeID="_x0000_i1025" DrawAspect="Content" ObjectID="_1484374326" r:id="rId10"/>
        </w:object>
      </w:r>
    </w:p>
    <w:p w:rsidR="00457C6B" w:rsidRDefault="00457C6B">
      <w:pPr>
        <w:pStyle w:val="Corpodeltesto2"/>
        <w:spacing w:before="120"/>
        <w:jc w:val="both"/>
        <w:rPr>
          <w:sz w:val="20"/>
        </w:rPr>
      </w:pPr>
    </w:p>
    <w:p w:rsidR="00457C6B" w:rsidRDefault="00457C6B">
      <w:pPr>
        <w:pStyle w:val="Corpodeltesto2"/>
        <w:spacing w:before="120"/>
        <w:jc w:val="both"/>
        <w:rPr>
          <w:sz w:val="20"/>
        </w:rPr>
      </w:pPr>
    </w:p>
    <w:p w:rsidR="00457C6B" w:rsidRDefault="00457C6B">
      <w:pPr>
        <w:jc w:val="center"/>
        <w:rPr>
          <w:rFonts w:ascii="Arial" w:hAnsi="Arial" w:cs="Arial"/>
        </w:rPr>
      </w:pPr>
      <w:bookmarkStart w:id="9" w:name="RANGE!A1"/>
      <w:bookmarkEnd w:id="9"/>
    </w:p>
    <w:p w:rsidR="00457C6B" w:rsidRDefault="0047703E">
      <w:pPr>
        <w:rPr>
          <w:rFonts w:ascii="Arial" w:hAnsi="Arial" w:cs="Arial"/>
          <w:sz w:val="20"/>
          <w:szCs w:val="20"/>
        </w:rPr>
      </w:pPr>
      <w:r>
        <w:rPr>
          <w:rFonts w:ascii="Arial" w:hAnsi="Arial" w:cs="Arial"/>
          <w:sz w:val="20"/>
          <w:szCs w:val="20"/>
        </w:rPr>
        <w:t xml:space="preserve">Il saldo netto </w:t>
      </w:r>
      <w:r>
        <w:rPr>
          <w:rFonts w:ascii="Arial" w:hAnsi="Arial" w:cs="Arial"/>
          <w:b/>
          <w:i/>
          <w:color w:val="0000FF"/>
          <w:sz w:val="20"/>
          <w:szCs w:val="20"/>
        </w:rPr>
        <w:t>da finanziare o da impiegare</w:t>
      </w:r>
      <w:r>
        <w:rPr>
          <w:rFonts w:ascii="Arial" w:hAnsi="Arial" w:cs="Arial"/>
          <w:sz w:val="20"/>
          <w:szCs w:val="20"/>
        </w:rPr>
        <w:t xml:space="preserve"> risulta il seguente:</w:t>
      </w:r>
    </w:p>
    <w:p w:rsidR="0052759F" w:rsidRDefault="0052759F">
      <w:pPr>
        <w:rPr>
          <w:rFonts w:ascii="Arial" w:hAnsi="Arial" w:cs="Arial"/>
          <w:sz w:val="20"/>
          <w:szCs w:val="20"/>
        </w:rPr>
      </w:pPr>
    </w:p>
    <w:p w:rsidR="00457C6B" w:rsidRDefault="00AB315A">
      <w:pPr>
        <w:rPr>
          <w:rFonts w:ascii="Arial" w:hAnsi="Arial" w:cs="Arial"/>
          <w:sz w:val="20"/>
          <w:szCs w:val="20"/>
        </w:rPr>
      </w:pPr>
      <w:r w:rsidRPr="00824CF3">
        <w:rPr>
          <w:rFonts w:ascii="Arial" w:hAnsi="Arial" w:cs="Arial"/>
          <w:sz w:val="20"/>
          <w:szCs w:val="20"/>
        </w:rPr>
        <w:object w:dxaOrig="5601" w:dyaOrig="1829">
          <v:shape id="_x0000_i1026" type="#_x0000_t75" style="width:279.85pt;height:91.7pt" o:ole="">
            <v:imagedata r:id="rId11" o:title=""/>
          </v:shape>
          <o:OLEObject Type="Embed" ProgID="Excel.Sheet.8" ShapeID="_x0000_i1026" DrawAspect="Content" ObjectID="_1484374327" r:id="rId12"/>
        </w:object>
      </w:r>
    </w:p>
    <w:p w:rsidR="00457C6B" w:rsidRDefault="00457C6B">
      <w:pPr>
        <w:rPr>
          <w:rFonts w:ascii="Arial" w:hAnsi="Arial" w:cs="Arial"/>
          <w:sz w:val="20"/>
          <w:szCs w:val="20"/>
        </w:rPr>
      </w:pPr>
    </w:p>
    <w:p w:rsidR="00457C6B" w:rsidRDefault="00457C6B">
      <w:pPr>
        <w:rPr>
          <w:rFonts w:ascii="Arial" w:hAnsi="Arial" w:cs="Arial"/>
        </w:rPr>
      </w:pPr>
    </w:p>
    <w:p w:rsidR="00457C6B" w:rsidRDefault="00457C6B">
      <w:pPr>
        <w:jc w:val="center"/>
        <w:rPr>
          <w:rFonts w:ascii="Arial" w:hAnsi="Arial" w:cs="Arial"/>
        </w:rPr>
      </w:pPr>
    </w:p>
    <w:p w:rsidR="00457C6B" w:rsidRDefault="00457C6B">
      <w:pPr>
        <w:rPr>
          <w:rFonts w:ascii="Arial" w:hAnsi="Arial" w:cs="Arial"/>
        </w:rPr>
      </w:pPr>
    </w:p>
    <w:p w:rsidR="00457C6B" w:rsidRDefault="00457C6B">
      <w:pPr>
        <w:rPr>
          <w:rFonts w:ascii="Arial" w:hAnsi="Arial" w:cs="Arial"/>
        </w:rPr>
      </w:pPr>
    </w:p>
    <w:p w:rsidR="00457C6B" w:rsidRDefault="0047703E">
      <w:pPr>
        <w:rPr>
          <w:rFonts w:ascii="Arial" w:hAnsi="Arial" w:cs="Arial"/>
        </w:rPr>
      </w:pPr>
      <w:r>
        <w:rPr>
          <w:rFonts w:ascii="Arial" w:hAnsi="Arial" w:cs="Arial"/>
        </w:rPr>
        <w:br w:type="page"/>
      </w:r>
    </w:p>
    <w:p w:rsidR="00457C6B" w:rsidRDefault="0047703E">
      <w:pPr>
        <w:pStyle w:val="Titolo2"/>
      </w:pPr>
      <w:bookmarkStart w:id="10" w:name="_2._Verifica_equilibrio"/>
      <w:bookmarkStart w:id="11" w:name="_Toc408988058"/>
      <w:bookmarkEnd w:id="10"/>
      <w:r>
        <w:lastRenderedPageBreak/>
        <w:t>2. Verifica equilibrio corrente ed in conto capitale anno 2015</w:t>
      </w:r>
      <w:bookmarkEnd w:id="11"/>
    </w:p>
    <w:p w:rsidR="00457C6B" w:rsidRDefault="00692256" w:rsidP="00AB315A">
      <w:pPr>
        <w:rPr>
          <w:rFonts w:ascii="Arial" w:hAnsi="Arial" w:cs="Arial"/>
          <w:sz w:val="18"/>
        </w:rPr>
      </w:pPr>
      <w:r>
        <w:object w:dxaOrig="10066" w:dyaOrig="11859">
          <v:shape id="_x0000_i1027" type="#_x0000_t75" style="width:503.3pt;height:593pt" o:ole="">
            <v:imagedata r:id="rId13" o:title=""/>
          </v:shape>
          <o:OLEObject Type="Embed" ProgID="Excel.Sheet.8" ShapeID="_x0000_i1027" DrawAspect="Content" ObjectID="_1484374328" r:id="rId14"/>
        </w:object>
      </w:r>
    </w:p>
    <w:p w:rsidR="00457C6B" w:rsidRDefault="0047703E">
      <w:pPr>
        <w:jc w:val="both"/>
        <w:rPr>
          <w:rFonts w:ascii="Arial" w:hAnsi="Arial" w:cs="Arial"/>
          <w:color w:val="0000FF"/>
          <w:sz w:val="18"/>
        </w:rPr>
      </w:pPr>
      <w:r>
        <w:rPr>
          <w:rFonts w:ascii="Arial" w:hAnsi="Arial" w:cs="Arial"/>
          <w:sz w:val="18"/>
        </w:rPr>
        <w:t xml:space="preserve"> </w:t>
      </w:r>
      <w:r>
        <w:rPr>
          <w:rFonts w:ascii="Arial" w:hAnsi="Arial" w:cs="Arial"/>
          <w:color w:val="0000FF"/>
          <w:sz w:val="18"/>
        </w:rPr>
        <w:t>(*) il dato da riportare è quello del Titolo III depurato dell’intervento 1 “rimborso per anticipazioni di cassa” e, dove esistente, della quota di mutui e prestiti estinti anticipatamente con ricorso a nuovo indebitamento o con utilizzo dell’avanzo d’amministrazione.</w:t>
      </w:r>
      <w:r>
        <w:rPr>
          <w:rFonts w:ascii="Arial" w:hAnsi="Arial" w:cs="Arial"/>
          <w:color w:val="0000FF"/>
          <w:sz w:val="18"/>
        </w:rPr>
        <w:tab/>
      </w:r>
      <w:r>
        <w:rPr>
          <w:rFonts w:ascii="Arial" w:hAnsi="Arial" w:cs="Arial"/>
          <w:color w:val="0000FF"/>
          <w:sz w:val="18"/>
        </w:rPr>
        <w:tab/>
      </w:r>
      <w:r>
        <w:rPr>
          <w:rFonts w:ascii="Arial" w:hAnsi="Arial" w:cs="Arial"/>
          <w:color w:val="0000FF"/>
          <w:sz w:val="18"/>
        </w:rPr>
        <w:tab/>
      </w:r>
    </w:p>
    <w:p w:rsidR="00457C6B" w:rsidRDefault="0047703E">
      <w:pPr>
        <w:rPr>
          <w:rFonts w:ascii="Arial" w:hAnsi="Arial" w:cs="Arial"/>
          <w:color w:val="0000FF"/>
          <w:sz w:val="18"/>
        </w:rPr>
      </w:pPr>
      <w:r>
        <w:rPr>
          <w:rFonts w:ascii="Arial" w:hAnsi="Arial" w:cs="Arial"/>
          <w:color w:val="0000FF"/>
          <w:sz w:val="18"/>
        </w:rPr>
        <w:t>(**) categorie 2,3 e 4.</w:t>
      </w:r>
    </w:p>
    <w:p w:rsidR="00457C6B" w:rsidRDefault="00457C6B">
      <w:pPr>
        <w:rPr>
          <w:rFonts w:ascii="Arial" w:hAnsi="Arial" w:cs="Arial"/>
          <w:sz w:val="18"/>
        </w:rPr>
      </w:pPr>
    </w:p>
    <w:p w:rsidR="00457C6B" w:rsidRDefault="00457C6B">
      <w:pPr>
        <w:rPr>
          <w:rFonts w:ascii="Arial" w:hAnsi="Arial" w:cs="Arial"/>
          <w:sz w:val="18"/>
        </w:rPr>
      </w:pPr>
    </w:p>
    <w:p w:rsidR="00457C6B" w:rsidRDefault="0047703E">
      <w:pPr>
        <w:rPr>
          <w:rFonts w:ascii="Arial" w:hAnsi="Arial" w:cs="Arial"/>
          <w:color w:val="0000FF"/>
          <w:sz w:val="20"/>
          <w:szCs w:val="16"/>
        </w:rPr>
      </w:pPr>
      <w:r>
        <w:rPr>
          <w:rFonts w:ascii="Arial" w:hAnsi="Arial" w:cs="Arial"/>
          <w:color w:val="0000FF"/>
          <w:sz w:val="20"/>
          <w:szCs w:val="16"/>
        </w:rPr>
        <w:t>(note per gli equilibri correnti)</w:t>
      </w:r>
    </w:p>
    <w:p w:rsidR="00CF5982" w:rsidRDefault="00CF5982">
      <w:pPr>
        <w:rPr>
          <w:rFonts w:ascii="Arial" w:hAnsi="Arial" w:cs="Arial"/>
          <w:color w:val="0000FF"/>
          <w:sz w:val="20"/>
          <w:szCs w:val="16"/>
        </w:rPr>
      </w:pPr>
    </w:p>
    <w:p w:rsidR="00457C6B" w:rsidRDefault="00457C6B">
      <w:pPr>
        <w:rPr>
          <w:rFonts w:ascii="Arial" w:hAnsi="Arial" w:cs="Arial"/>
          <w:color w:val="0000FF"/>
          <w:sz w:val="20"/>
          <w:szCs w:val="16"/>
        </w:rPr>
      </w:pPr>
    </w:p>
    <w:p w:rsidR="00457C6B" w:rsidRDefault="0047703E">
      <w:pPr>
        <w:rPr>
          <w:rFonts w:ascii="Arial" w:hAnsi="Arial" w:cs="Arial"/>
          <w:b/>
          <w:sz w:val="20"/>
          <w:szCs w:val="16"/>
        </w:rPr>
      </w:pPr>
      <w:r>
        <w:rPr>
          <w:rFonts w:ascii="Arial" w:hAnsi="Arial" w:cs="Arial"/>
          <w:b/>
          <w:sz w:val="20"/>
          <w:szCs w:val="16"/>
        </w:rPr>
        <w:lastRenderedPageBreak/>
        <w:t>La differenza negativa è così finanziata</w:t>
      </w:r>
      <w:r w:rsidR="00AB315A">
        <w:rPr>
          <w:rFonts w:ascii="Arial" w:hAnsi="Arial" w:cs="Arial"/>
          <w:b/>
          <w:sz w:val="20"/>
          <w:szCs w:val="16"/>
        </w:rPr>
        <w:t>:</w:t>
      </w:r>
    </w:p>
    <w:p w:rsidR="00AB315A" w:rsidRDefault="00AB315A">
      <w:pPr>
        <w:rPr>
          <w:rFonts w:ascii="Arial" w:hAnsi="Arial" w:cs="Arial"/>
          <w:b/>
          <w:sz w:val="20"/>
          <w:szCs w:val="16"/>
        </w:rPr>
      </w:pPr>
      <w:r w:rsidRPr="00824CF3">
        <w:rPr>
          <w:rFonts w:ascii="Arial" w:hAnsi="Arial" w:cs="Arial"/>
          <w:b/>
          <w:sz w:val="20"/>
          <w:szCs w:val="16"/>
        </w:rPr>
        <w:object w:dxaOrig="9126" w:dyaOrig="1501">
          <v:shape id="_x0000_i1028" type="#_x0000_t75" style="width:456.45pt;height:74.7pt" o:ole="">
            <v:imagedata r:id="rId15" o:title=""/>
          </v:shape>
          <o:OLEObject Type="Embed" ProgID="Excel.Sheet.8" ShapeID="_x0000_i1028" DrawAspect="Content" ObjectID="_1484374329" r:id="rId16"/>
        </w:object>
      </w:r>
    </w:p>
    <w:p w:rsidR="00AB315A" w:rsidRDefault="00AB315A">
      <w:pPr>
        <w:rPr>
          <w:rFonts w:ascii="Arial" w:hAnsi="Arial" w:cs="Arial"/>
          <w:b/>
          <w:sz w:val="20"/>
          <w:szCs w:val="16"/>
        </w:rPr>
      </w:pPr>
    </w:p>
    <w:p w:rsidR="00042557" w:rsidRDefault="00042557">
      <w:pPr>
        <w:rPr>
          <w:rFonts w:ascii="Arial" w:hAnsi="Arial" w:cs="Arial"/>
          <w:b/>
          <w:sz w:val="20"/>
          <w:szCs w:val="16"/>
        </w:rPr>
      </w:pPr>
    </w:p>
    <w:p w:rsidR="00AB315A" w:rsidRDefault="00AB315A">
      <w:pPr>
        <w:rPr>
          <w:rFonts w:ascii="Arial" w:hAnsi="Arial" w:cs="Arial"/>
          <w:b/>
          <w:sz w:val="20"/>
          <w:szCs w:val="16"/>
        </w:rPr>
      </w:pPr>
      <w:r>
        <w:rPr>
          <w:rFonts w:ascii="Arial" w:hAnsi="Arial" w:cs="Arial"/>
          <w:b/>
          <w:sz w:val="20"/>
          <w:szCs w:val="16"/>
        </w:rPr>
        <w:t>La differenza positiva è così destinata:</w:t>
      </w:r>
    </w:p>
    <w:p w:rsidR="00457C6B" w:rsidRDefault="00457C6B">
      <w:pPr>
        <w:rPr>
          <w:rFonts w:ascii="Arial" w:hAnsi="Arial" w:cs="Arial"/>
          <w:sz w:val="20"/>
          <w:szCs w:val="16"/>
        </w:rPr>
      </w:pPr>
    </w:p>
    <w:p w:rsidR="00457C6B" w:rsidRDefault="00AB315A">
      <w:pPr>
        <w:rPr>
          <w:rFonts w:ascii="Arial" w:hAnsi="Arial" w:cs="Arial"/>
          <w:i/>
          <w:sz w:val="16"/>
          <w:szCs w:val="16"/>
        </w:rPr>
      </w:pPr>
      <w:r w:rsidRPr="00824CF3">
        <w:rPr>
          <w:rFonts w:ascii="Arial" w:hAnsi="Arial" w:cs="Arial"/>
          <w:i/>
          <w:sz w:val="16"/>
          <w:szCs w:val="16"/>
        </w:rPr>
        <w:object w:dxaOrig="9126" w:dyaOrig="2459">
          <v:shape id="_x0000_i1029" type="#_x0000_t75" style="width:456.45pt;height:122.95pt" o:ole="">
            <v:imagedata r:id="rId17" o:title=""/>
          </v:shape>
          <o:OLEObject Type="Embed" ProgID="Excel.Sheet.8" ShapeID="_x0000_i1029" DrawAspect="Content" ObjectID="_1484374330" r:id="rId18"/>
        </w:object>
      </w:r>
    </w:p>
    <w:p w:rsidR="00457C6B" w:rsidRDefault="00457C6B">
      <w:pPr>
        <w:rPr>
          <w:rFonts w:ascii="Arial" w:hAnsi="Arial" w:cs="Arial"/>
          <w:sz w:val="18"/>
        </w:rPr>
      </w:pPr>
    </w:p>
    <w:p w:rsidR="00457C6B" w:rsidRDefault="00457C6B"/>
    <w:p w:rsidR="00457C6B" w:rsidRDefault="00457C6B">
      <w:pPr>
        <w:rPr>
          <w:rFonts w:ascii="Arial" w:hAnsi="Arial" w:cs="Arial"/>
        </w:rPr>
      </w:pPr>
    </w:p>
    <w:p w:rsidR="00457C6B" w:rsidRDefault="0047703E">
      <w:pPr>
        <w:jc w:val="both"/>
        <w:rPr>
          <w:rFonts w:ascii="Arial" w:hAnsi="Arial" w:cs="Arial"/>
          <w:color w:val="0000FF"/>
          <w:sz w:val="20"/>
          <w:szCs w:val="20"/>
          <w:u w:val="single"/>
        </w:rPr>
      </w:pPr>
      <w:r>
        <w:rPr>
          <w:rFonts w:ascii="Arial" w:hAnsi="Arial" w:cs="Arial"/>
          <w:color w:val="0000FF"/>
          <w:sz w:val="20"/>
          <w:szCs w:val="20"/>
          <w:u w:val="single"/>
        </w:rPr>
        <w:t>Per effetto della Legge 228/2012</w:t>
      </w:r>
    </w:p>
    <w:p w:rsidR="00457C6B" w:rsidRDefault="0047703E">
      <w:pPr>
        <w:jc w:val="both"/>
        <w:rPr>
          <w:rFonts w:ascii="Arial" w:hAnsi="Arial" w:cs="Arial"/>
          <w:color w:val="0000FF"/>
          <w:sz w:val="20"/>
          <w:szCs w:val="20"/>
        </w:rPr>
      </w:pPr>
      <w:r>
        <w:rPr>
          <w:rFonts w:ascii="Arial" w:hAnsi="Arial" w:cs="Arial"/>
          <w:color w:val="0000FF"/>
          <w:sz w:val="20"/>
          <w:szCs w:val="20"/>
        </w:rPr>
        <w:t>I proventi da alienazione potranno essere destinati solo a coprire spese del titolo II ed in mancanza o per la parte eccedente a ridurre il debito.</w:t>
      </w:r>
    </w:p>
    <w:p w:rsidR="00457C6B" w:rsidRDefault="0047703E">
      <w:pPr>
        <w:jc w:val="both"/>
        <w:rPr>
          <w:rFonts w:ascii="Arial" w:hAnsi="Arial" w:cs="Arial"/>
          <w:color w:val="0000FF"/>
          <w:sz w:val="20"/>
          <w:szCs w:val="20"/>
        </w:rPr>
      </w:pPr>
      <w:r>
        <w:rPr>
          <w:rFonts w:ascii="Arial" w:hAnsi="Arial" w:cs="Arial"/>
          <w:color w:val="0000FF"/>
          <w:sz w:val="20"/>
          <w:szCs w:val="20"/>
        </w:rPr>
        <w:t>In sede di salvaguardia degli equilibri i proventi di alienazione potranno essere utilizzati solo per ripristinare gli equilibri di parte capitale.</w:t>
      </w:r>
    </w:p>
    <w:p w:rsidR="00457C6B" w:rsidRDefault="0047703E">
      <w:pPr>
        <w:jc w:val="both"/>
        <w:rPr>
          <w:rFonts w:ascii="Arial" w:hAnsi="Arial" w:cs="Arial"/>
          <w:color w:val="0000FF"/>
          <w:sz w:val="20"/>
          <w:szCs w:val="20"/>
        </w:rPr>
      </w:pPr>
      <w:r>
        <w:rPr>
          <w:rFonts w:ascii="Arial" w:hAnsi="Arial" w:cs="Arial"/>
          <w:color w:val="0000FF"/>
          <w:sz w:val="20"/>
          <w:szCs w:val="20"/>
        </w:rPr>
        <w:t xml:space="preserve">In sede di salvaguardia degli equilibri è possibile modificare le tariffe ed aliquote dei tributi di propria competenza in deroga all’art.1, comma 169 della </w:t>
      </w:r>
      <w:hyperlink r:id="rId19" w:history="1">
        <w:r>
          <w:rPr>
            <w:rStyle w:val="Collegamentoipertestuale"/>
            <w:rFonts w:ascii="Arial" w:hAnsi="Arial" w:cs="Arial"/>
            <w:sz w:val="20"/>
            <w:szCs w:val="20"/>
          </w:rPr>
          <w:t>Legge 296/2006</w:t>
        </w:r>
      </w:hyperlink>
      <w:r>
        <w:rPr>
          <w:rFonts w:ascii="Arial" w:hAnsi="Arial" w:cs="Arial"/>
          <w:color w:val="0000FF"/>
          <w:sz w:val="20"/>
          <w:szCs w:val="20"/>
        </w:rPr>
        <w:t>.</w:t>
      </w:r>
    </w:p>
    <w:p w:rsidR="00457C6B" w:rsidRDefault="00457C6B">
      <w:pPr>
        <w:widowControl w:val="0"/>
        <w:autoSpaceDE w:val="0"/>
        <w:autoSpaceDN w:val="0"/>
        <w:adjustRightInd w:val="0"/>
        <w:spacing w:before="120"/>
        <w:rPr>
          <w:rFonts w:ascii="Arial" w:hAnsi="Arial" w:cs="Arial"/>
          <w:color w:val="0000FF"/>
          <w:sz w:val="18"/>
          <w:szCs w:val="18"/>
        </w:rPr>
      </w:pPr>
    </w:p>
    <w:p w:rsidR="00692256" w:rsidRDefault="00692256">
      <w:pPr>
        <w:jc w:val="both"/>
        <w:rPr>
          <w:rFonts w:ascii="Arial" w:hAnsi="Arial" w:cs="Arial"/>
          <w:b/>
          <w:i/>
          <w:color w:val="0070C0"/>
          <w:sz w:val="20"/>
        </w:rPr>
      </w:pPr>
    </w:p>
    <w:p w:rsidR="00457C6B" w:rsidRDefault="0047703E">
      <w:pPr>
        <w:pStyle w:val="Titolo2"/>
      </w:pPr>
      <w:bookmarkStart w:id="12" w:name="_Toc408988059"/>
      <w:r>
        <w:t xml:space="preserve">3. Verifica correlazione fra entrate a destinazione specifica o vincolata per </w:t>
      </w:r>
      <w:proofErr w:type="spellStart"/>
      <w:r>
        <w:t>lLegge</w:t>
      </w:r>
      <w:proofErr w:type="spellEnd"/>
      <w:r>
        <w:t xml:space="preserve"> e spese con esse finanziate</w:t>
      </w:r>
      <w:bookmarkEnd w:id="12"/>
    </w:p>
    <w:p w:rsidR="00457C6B" w:rsidRDefault="0047703E">
      <w:pPr>
        <w:spacing w:before="120"/>
        <w:jc w:val="both"/>
        <w:rPr>
          <w:rFonts w:ascii="Arial" w:hAnsi="Arial" w:cs="Arial"/>
          <w:sz w:val="22"/>
          <w:szCs w:val="22"/>
        </w:rPr>
      </w:pPr>
      <w:r>
        <w:rPr>
          <w:rFonts w:ascii="Arial" w:hAnsi="Arial" w:cs="Arial"/>
          <w:sz w:val="22"/>
          <w:szCs w:val="22"/>
        </w:rPr>
        <w:t>La correlazione fra previsione di entrate a destinazione specifica o vincolata per Legge e spese con esse finanziate è cosi assicurata nel bilancio:</w:t>
      </w:r>
    </w:p>
    <w:p w:rsidR="00042557" w:rsidRDefault="00CF5982">
      <w:pPr>
        <w:spacing w:before="120"/>
        <w:jc w:val="both"/>
        <w:rPr>
          <w:rFonts w:ascii="Arial" w:hAnsi="Arial" w:cs="Arial"/>
          <w:sz w:val="22"/>
          <w:szCs w:val="22"/>
        </w:rPr>
      </w:pPr>
      <w:r w:rsidRPr="00B771D5">
        <w:rPr>
          <w:rFonts w:ascii="Arial" w:hAnsi="Arial" w:cs="Arial"/>
          <w:sz w:val="22"/>
          <w:szCs w:val="22"/>
        </w:rPr>
        <w:object w:dxaOrig="9316" w:dyaOrig="5732">
          <v:shape id="_x0000_i1030" type="#_x0000_t75" style="width:465.95pt;height:286.65pt" o:ole="">
            <v:imagedata r:id="rId20" o:title=""/>
          </v:shape>
          <o:OLEObject Type="Embed" ProgID="Excel.Sheet.8" ShapeID="_x0000_i1030" DrawAspect="Content" ObjectID="_1484374331" r:id="rId21"/>
        </w:object>
      </w:r>
    </w:p>
    <w:p w:rsidR="00042557" w:rsidRDefault="00042557">
      <w:pPr>
        <w:spacing w:before="120"/>
        <w:jc w:val="both"/>
        <w:rPr>
          <w:rFonts w:ascii="Arial" w:hAnsi="Arial" w:cs="Arial"/>
          <w:sz w:val="22"/>
          <w:szCs w:val="22"/>
        </w:rPr>
      </w:pPr>
    </w:p>
    <w:p w:rsidR="00457C6B" w:rsidRDefault="00457C6B">
      <w:pPr>
        <w:rPr>
          <w:rFonts w:ascii="Arial" w:hAnsi="Arial" w:cs="Arial"/>
          <w:sz w:val="20"/>
        </w:rPr>
      </w:pPr>
    </w:p>
    <w:p w:rsidR="00457C6B" w:rsidRDefault="0047703E">
      <w:pPr>
        <w:pStyle w:val="Titolo2"/>
      </w:pPr>
      <w:bookmarkStart w:id="13" w:name="_Toc408988060"/>
      <w:r>
        <w:t>4. Verifica dell’effettivo equilibrio di parte corrente</w:t>
      </w:r>
      <w:bookmarkEnd w:id="13"/>
    </w:p>
    <w:p w:rsidR="00457C6B" w:rsidRDefault="0047703E">
      <w:pPr>
        <w:spacing w:before="120"/>
        <w:rPr>
          <w:rFonts w:ascii="Arial" w:hAnsi="Arial" w:cs="Arial"/>
          <w:b/>
          <w:sz w:val="22"/>
          <w:szCs w:val="22"/>
        </w:rPr>
      </w:pPr>
      <w:r>
        <w:rPr>
          <w:rFonts w:ascii="Arial" w:hAnsi="Arial" w:cs="Arial"/>
          <w:sz w:val="22"/>
          <w:szCs w:val="22"/>
        </w:rPr>
        <w:t xml:space="preserve">La situazione </w:t>
      </w:r>
      <w:r>
        <w:rPr>
          <w:rFonts w:ascii="Arial" w:hAnsi="Arial" w:cs="Arial"/>
          <w:b/>
          <w:sz w:val="22"/>
          <w:szCs w:val="22"/>
        </w:rPr>
        <w:t xml:space="preserve">corrente </w:t>
      </w:r>
      <w:r>
        <w:rPr>
          <w:rFonts w:ascii="Arial" w:hAnsi="Arial" w:cs="Arial"/>
          <w:sz w:val="22"/>
          <w:szCs w:val="22"/>
        </w:rPr>
        <w:t>dell’esercizio 2015 è influenzata dalle seguenti entrate e spese aventi carattere di eccezionalità e non ripetitive:</w:t>
      </w:r>
    </w:p>
    <w:p w:rsidR="00457C6B" w:rsidRDefault="0047703E">
      <w:pPr>
        <w:spacing w:before="120"/>
        <w:rPr>
          <w:rFonts w:ascii="Arial" w:hAnsi="Arial" w:cs="Arial"/>
          <w:color w:val="0000FF"/>
          <w:sz w:val="20"/>
          <w:szCs w:val="20"/>
        </w:rPr>
      </w:pPr>
      <w:r>
        <w:rPr>
          <w:rFonts w:ascii="Arial" w:hAnsi="Arial" w:cs="Arial"/>
          <w:color w:val="0000FF"/>
          <w:sz w:val="20"/>
          <w:szCs w:val="20"/>
        </w:rPr>
        <w:t>( indicare la parte di entrate o di spese che si ritiene non ricorrente o ripetitiva in termini quantitativi).</w:t>
      </w:r>
    </w:p>
    <w:p w:rsidR="00042557" w:rsidRDefault="00CF5982">
      <w:pPr>
        <w:spacing w:before="120"/>
        <w:rPr>
          <w:rFonts w:ascii="Arial" w:hAnsi="Arial" w:cs="Arial"/>
          <w:color w:val="0000FF"/>
          <w:sz w:val="20"/>
          <w:szCs w:val="20"/>
        </w:rPr>
      </w:pPr>
      <w:r w:rsidRPr="00B771D5">
        <w:rPr>
          <w:rFonts w:ascii="Arial" w:hAnsi="Arial" w:cs="Arial"/>
          <w:color w:val="0000FF"/>
          <w:sz w:val="20"/>
          <w:szCs w:val="20"/>
        </w:rPr>
        <w:object w:dxaOrig="8414" w:dyaOrig="6022">
          <v:shape id="_x0000_i1031" type="#_x0000_t75" style="width:420.45pt;height:300.9pt" o:ole="">
            <v:imagedata r:id="rId22" o:title=""/>
          </v:shape>
          <o:OLEObject Type="Embed" ProgID="Excel.Sheet.8" ShapeID="_x0000_i1031" DrawAspect="Content" ObjectID="_1484374332" r:id="rId23"/>
        </w:object>
      </w:r>
    </w:p>
    <w:p w:rsidR="00042557" w:rsidRDefault="00042557">
      <w:pPr>
        <w:spacing w:before="120"/>
        <w:rPr>
          <w:rFonts w:ascii="Arial" w:hAnsi="Arial" w:cs="Arial"/>
          <w:color w:val="0000FF"/>
          <w:sz w:val="20"/>
          <w:szCs w:val="20"/>
        </w:rPr>
      </w:pPr>
    </w:p>
    <w:p w:rsidR="00457C6B" w:rsidRDefault="0047703E">
      <w:pPr>
        <w:rPr>
          <w:rFonts w:ascii="Arial" w:hAnsi="Arial" w:cs="Arial"/>
          <w:color w:val="0000FF"/>
          <w:sz w:val="20"/>
          <w:szCs w:val="20"/>
        </w:rPr>
      </w:pPr>
      <w:bookmarkStart w:id="14" w:name="_Toc408474302"/>
      <w:bookmarkStart w:id="15" w:name="_Toc408988061"/>
      <w:r>
        <w:rPr>
          <w:rFonts w:ascii="Arial" w:hAnsi="Arial" w:cs="Arial"/>
          <w:color w:val="0000FF"/>
          <w:sz w:val="20"/>
          <w:szCs w:val="20"/>
        </w:rPr>
        <w:t>(L’articolo 25, comma 1, lettera b) della legge 31 dicembre 2009, n. 196, distingue le entrate ricorrenti da quelle non ricorrenti, a seconda che si riferiscano a proventi la cui acquisizione sia prevista a regime ovvero limitata ad uno o più esercizi.</w:t>
      </w:r>
      <w:r>
        <w:rPr>
          <w:rFonts w:ascii="Arial" w:hAnsi="Arial" w:cs="Arial"/>
          <w:color w:val="0000FF"/>
          <w:sz w:val="20"/>
          <w:szCs w:val="20"/>
        </w:rPr>
        <w:br/>
        <w:t>Si ritiene che possa essere definita “a regime” un’entrata che si presenta con continuità in almeno 5 esercizi, per importi costanti nel tempo.</w:t>
      </w:r>
      <w:r>
        <w:rPr>
          <w:rStyle w:val="apple-converted-space"/>
          <w:rFonts w:ascii="Arial" w:hAnsi="Arial" w:cs="Arial"/>
          <w:b/>
          <w:color w:val="0000FF"/>
          <w:sz w:val="20"/>
          <w:szCs w:val="20"/>
        </w:rPr>
        <w:t> </w:t>
      </w:r>
      <w:r>
        <w:rPr>
          <w:rFonts w:ascii="Arial" w:hAnsi="Arial" w:cs="Arial"/>
          <w:color w:val="0000FF"/>
          <w:sz w:val="20"/>
          <w:szCs w:val="20"/>
        </w:rPr>
        <w:br/>
        <w:t>In ogni caso, in considerazione della loro natura sono da considerarsi non ricorrenti le entrate riguardanti:</w:t>
      </w:r>
      <w:r>
        <w:rPr>
          <w:rStyle w:val="apple-converted-space"/>
          <w:rFonts w:ascii="Arial" w:hAnsi="Arial" w:cs="Arial"/>
          <w:b/>
          <w:color w:val="0000FF"/>
          <w:sz w:val="20"/>
          <w:szCs w:val="20"/>
        </w:rPr>
        <w:t> </w:t>
      </w:r>
      <w:r>
        <w:rPr>
          <w:rFonts w:ascii="Arial" w:hAnsi="Arial" w:cs="Arial"/>
          <w:color w:val="0000FF"/>
          <w:sz w:val="20"/>
          <w:szCs w:val="20"/>
        </w:rPr>
        <w:br/>
        <w:t>i contributi per la sanatoria di abusi edilizi e sanzioni;</w:t>
      </w:r>
      <w:r>
        <w:rPr>
          <w:rFonts w:ascii="Arial" w:hAnsi="Arial" w:cs="Arial"/>
          <w:color w:val="0000FF"/>
          <w:sz w:val="20"/>
          <w:szCs w:val="20"/>
        </w:rPr>
        <w:br/>
        <w:t>i condoni;</w:t>
      </w:r>
      <w:r>
        <w:rPr>
          <w:rFonts w:ascii="Arial" w:hAnsi="Arial" w:cs="Arial"/>
          <w:color w:val="0000FF"/>
          <w:sz w:val="20"/>
          <w:szCs w:val="20"/>
        </w:rPr>
        <w:br/>
        <w:t>le entrate derivanti dall’attività straordinaria diretta al recupero evasione tributaria;</w:t>
      </w:r>
      <w:r>
        <w:rPr>
          <w:rFonts w:ascii="Arial" w:hAnsi="Arial" w:cs="Arial"/>
          <w:color w:val="0000FF"/>
          <w:sz w:val="20"/>
          <w:szCs w:val="20"/>
        </w:rPr>
        <w:br/>
        <w:t>le entrate per eventi calamitosi;</w:t>
      </w:r>
      <w:r>
        <w:rPr>
          <w:rFonts w:ascii="Arial" w:hAnsi="Arial" w:cs="Arial"/>
          <w:color w:val="0000FF"/>
          <w:sz w:val="20"/>
          <w:szCs w:val="20"/>
        </w:rPr>
        <w:br/>
        <w:t>le plusvalenze da alienazione;</w:t>
      </w:r>
      <w:r>
        <w:rPr>
          <w:rFonts w:ascii="Arial" w:hAnsi="Arial" w:cs="Arial"/>
          <w:color w:val="0000FF"/>
          <w:sz w:val="20"/>
          <w:szCs w:val="20"/>
        </w:rPr>
        <w:br/>
        <w:t>le accensioni di prestiti;</w:t>
      </w:r>
      <w:r>
        <w:rPr>
          <w:rFonts w:ascii="Arial" w:hAnsi="Arial" w:cs="Arial"/>
          <w:color w:val="0000FF"/>
          <w:sz w:val="20"/>
          <w:szCs w:val="20"/>
        </w:rPr>
        <w:br/>
        <w:t>Tutti i trasferimenti in conto capitale sono non ricorrenti, a meno che non siano espressamente definitivi “continuativi” dal provvedimento o dalla norma che ne autorizza l’erogazione.    </w:t>
      </w:r>
      <w:r>
        <w:rPr>
          <w:rStyle w:val="apple-converted-space"/>
          <w:rFonts w:ascii="Arial" w:hAnsi="Arial" w:cs="Arial"/>
          <w:b/>
          <w:color w:val="0000FF"/>
          <w:sz w:val="20"/>
          <w:szCs w:val="20"/>
        </w:rPr>
        <w:t> </w:t>
      </w:r>
      <w:r>
        <w:rPr>
          <w:rFonts w:ascii="Arial" w:hAnsi="Arial" w:cs="Arial"/>
          <w:color w:val="0000FF"/>
          <w:sz w:val="20"/>
          <w:szCs w:val="20"/>
        </w:rPr>
        <w:br/>
        <w:t>Le altre entrate sono da considerarsi ricorrenti.</w:t>
      </w:r>
      <w:r>
        <w:rPr>
          <w:rStyle w:val="apple-converted-space"/>
          <w:rFonts w:ascii="Arial" w:hAnsi="Arial" w:cs="Arial"/>
          <w:b/>
          <w:color w:val="0000FF"/>
          <w:sz w:val="20"/>
          <w:szCs w:val="20"/>
        </w:rPr>
        <w:t> </w:t>
      </w:r>
      <w:r>
        <w:rPr>
          <w:rFonts w:ascii="Arial" w:hAnsi="Arial" w:cs="Arial"/>
          <w:color w:val="0000FF"/>
          <w:sz w:val="20"/>
          <w:szCs w:val="20"/>
        </w:rPr>
        <w:br/>
        <w:t>Si ritiene opportuno  includere tra le entrate “non ricorrenti” anche le entrate presenti “a regime” nei bilanci dell’ente, quando presentano importi superiori alla media riscontrata nei cinque esercizi precedenti.</w:t>
      </w:r>
      <w:r>
        <w:rPr>
          <w:rStyle w:val="apple-converted-space"/>
          <w:rFonts w:ascii="Arial" w:hAnsi="Arial" w:cs="Arial"/>
          <w:b/>
          <w:color w:val="0000FF"/>
          <w:sz w:val="20"/>
          <w:szCs w:val="20"/>
        </w:rPr>
        <w:t> </w:t>
      </w:r>
      <w:r>
        <w:rPr>
          <w:rFonts w:ascii="Arial" w:hAnsi="Arial" w:cs="Arial"/>
          <w:color w:val="0000FF"/>
          <w:sz w:val="20"/>
          <w:szCs w:val="20"/>
        </w:rPr>
        <w:br/>
        <w:t>In questo caso le entrate devono essere considerate ricorrenti fino a quando superano tale importo e devono essere invece considerate non ricorrenti quando tale importo viene superato.)</w:t>
      </w:r>
      <w:bookmarkEnd w:id="14"/>
      <w:bookmarkEnd w:id="15"/>
      <w:r>
        <w:rPr>
          <w:rFonts w:ascii="Arial" w:hAnsi="Arial" w:cs="Arial"/>
          <w:color w:val="0000FF"/>
          <w:sz w:val="20"/>
          <w:szCs w:val="20"/>
        </w:rPr>
        <w:br/>
        <w:t> </w:t>
      </w:r>
      <w:r>
        <w:rPr>
          <w:rFonts w:ascii="Arial" w:hAnsi="Arial" w:cs="Arial"/>
          <w:color w:val="0000FF"/>
          <w:sz w:val="20"/>
          <w:szCs w:val="20"/>
        </w:rPr>
        <w:br/>
      </w:r>
      <w:r>
        <w:rPr>
          <w:rFonts w:ascii="Arial" w:hAnsi="Arial" w:cs="Arial"/>
          <w:color w:val="0000FF"/>
          <w:sz w:val="20"/>
          <w:szCs w:val="20"/>
        </w:rPr>
        <w:br/>
        <w:t> </w:t>
      </w:r>
    </w:p>
    <w:p w:rsidR="00457C6B" w:rsidRDefault="0047703E">
      <w:pPr>
        <w:pStyle w:val="Titolo2"/>
      </w:pPr>
      <w:bookmarkStart w:id="16" w:name="_Toc408988062"/>
      <w:r>
        <w:t>5. Verifica dell’equilibrio di parte straordinaria</w:t>
      </w:r>
      <w:bookmarkEnd w:id="16"/>
    </w:p>
    <w:p w:rsidR="00457C6B" w:rsidRDefault="0047703E">
      <w:pPr>
        <w:pStyle w:val="BodyText21"/>
        <w:spacing w:before="120"/>
        <w:rPr>
          <w:rFonts w:cs="Arial"/>
          <w:color w:val="0000FF"/>
          <w:sz w:val="20"/>
        </w:rPr>
      </w:pPr>
      <w:r>
        <w:rPr>
          <w:rFonts w:cs="Arial"/>
          <w:color w:val="0000FF"/>
          <w:sz w:val="20"/>
        </w:rPr>
        <w:t>(Le risorse destinate a spese in conto capitale possono derivare dall’applicazione dell’avanzo di amministrazione presunto 2014, dall’avanzo corrente, e da entrate iscritte nei titoli IV e V del bilancio.)</w:t>
      </w:r>
    </w:p>
    <w:p w:rsidR="00457C6B" w:rsidRDefault="0047703E">
      <w:pPr>
        <w:jc w:val="both"/>
        <w:rPr>
          <w:rFonts w:ascii="Arial" w:hAnsi="Arial" w:cs="Arial"/>
          <w:sz w:val="22"/>
          <w:szCs w:val="22"/>
        </w:rPr>
      </w:pPr>
      <w:r>
        <w:rPr>
          <w:rFonts w:ascii="Arial" w:hAnsi="Arial" w:cs="Arial"/>
          <w:sz w:val="22"/>
          <w:szCs w:val="22"/>
        </w:rPr>
        <w:t>Il titolo II della spesa è finanziato con la seguente previsione di risorse distinta in mezzi propri e mezzi di terzi:</w:t>
      </w:r>
    </w:p>
    <w:p w:rsidR="00CF5982" w:rsidRDefault="00CF5982">
      <w:pPr>
        <w:jc w:val="both"/>
        <w:rPr>
          <w:rFonts w:ascii="Arial" w:hAnsi="Arial" w:cs="Arial"/>
          <w:sz w:val="22"/>
          <w:szCs w:val="22"/>
        </w:rPr>
      </w:pPr>
      <w:r w:rsidRPr="00B771D5">
        <w:rPr>
          <w:rFonts w:ascii="Arial" w:hAnsi="Arial" w:cs="Arial"/>
          <w:sz w:val="22"/>
          <w:szCs w:val="22"/>
        </w:rPr>
        <w:object w:dxaOrig="7860" w:dyaOrig="5449">
          <v:shape id="_x0000_i1032" type="#_x0000_t75" style="width:393.3pt;height:272.4pt" o:ole="">
            <v:imagedata r:id="rId24" o:title=""/>
          </v:shape>
          <o:OLEObject Type="Embed" ProgID="Excel.Sheet.8" ShapeID="_x0000_i1032" DrawAspect="Content" ObjectID="_1484374333" r:id="rId25"/>
        </w:object>
      </w:r>
    </w:p>
    <w:p w:rsidR="00545B74" w:rsidRDefault="00545B74">
      <w:pPr>
        <w:jc w:val="both"/>
        <w:rPr>
          <w:rFonts w:ascii="Arial" w:hAnsi="Arial" w:cs="Arial"/>
          <w:sz w:val="22"/>
          <w:szCs w:val="22"/>
        </w:rPr>
      </w:pPr>
    </w:p>
    <w:p w:rsidR="00545B74" w:rsidRDefault="00545B74">
      <w:pPr>
        <w:jc w:val="both"/>
        <w:rPr>
          <w:rFonts w:ascii="Arial" w:hAnsi="Arial" w:cs="Arial"/>
          <w:sz w:val="22"/>
          <w:szCs w:val="22"/>
        </w:rPr>
      </w:pPr>
    </w:p>
    <w:p w:rsidR="00AB315A" w:rsidRDefault="00AB315A">
      <w:pPr>
        <w:jc w:val="both"/>
        <w:rPr>
          <w:rFonts w:ascii="Arial" w:hAnsi="Arial" w:cs="Arial"/>
          <w:sz w:val="22"/>
          <w:szCs w:val="22"/>
        </w:rPr>
      </w:pPr>
    </w:p>
    <w:p w:rsidR="00AB315A" w:rsidRDefault="00AB315A">
      <w:pPr>
        <w:jc w:val="both"/>
        <w:rPr>
          <w:rFonts w:ascii="Arial" w:hAnsi="Arial" w:cs="Arial"/>
          <w:sz w:val="22"/>
          <w:szCs w:val="22"/>
        </w:rPr>
      </w:pPr>
    </w:p>
    <w:p w:rsidR="00545B74" w:rsidRDefault="00545B74">
      <w:pPr>
        <w:jc w:val="both"/>
        <w:rPr>
          <w:rFonts w:ascii="Arial" w:hAnsi="Arial" w:cs="Arial"/>
          <w:sz w:val="22"/>
          <w:szCs w:val="22"/>
        </w:rPr>
      </w:pPr>
    </w:p>
    <w:p w:rsidR="00457C6B" w:rsidRDefault="0047703E">
      <w:pPr>
        <w:pStyle w:val="Titolo2"/>
      </w:pPr>
      <w:bookmarkStart w:id="17" w:name="_Toc408988063"/>
      <w:r>
        <w:lastRenderedPageBreak/>
        <w:t>6. Verifica iscrizione ed utilizzo dell’avanzo</w:t>
      </w:r>
      <w:bookmarkEnd w:id="17"/>
    </w:p>
    <w:p w:rsidR="00457C6B" w:rsidRDefault="0047703E">
      <w:pPr>
        <w:pStyle w:val="Rientrocorpodeltesto2"/>
        <w:spacing w:before="120" w:after="120" w:line="240" w:lineRule="auto"/>
        <w:ind w:left="0"/>
        <w:jc w:val="both"/>
        <w:rPr>
          <w:szCs w:val="22"/>
        </w:rPr>
      </w:pPr>
      <w:r>
        <w:rPr>
          <w:szCs w:val="22"/>
        </w:rPr>
        <w:t xml:space="preserve">È stato iscritto in bilancio il presunto avanzo d’amministrazione dell’esercizio 2014, finalizzato alle spese di cui alle lettere a), b) e c) del 2° comma dell’art. 187 del </w:t>
      </w:r>
      <w:r>
        <w:rPr>
          <w:sz w:val="20"/>
          <w:szCs w:val="20"/>
        </w:rPr>
        <w:t>TUEL</w:t>
      </w:r>
      <w:r>
        <w:rPr>
          <w:szCs w:val="22"/>
        </w:rPr>
        <w:t xml:space="preserve"> così distinto:</w:t>
      </w:r>
    </w:p>
    <w:p w:rsidR="00457C6B" w:rsidRDefault="0047703E">
      <w:pPr>
        <w:numPr>
          <w:ilvl w:val="0"/>
          <w:numId w:val="6"/>
        </w:numPr>
        <w:spacing w:before="120"/>
        <w:ind w:left="357" w:hanging="357"/>
        <w:rPr>
          <w:rFonts w:ascii="Arial" w:hAnsi="Arial" w:cs="Arial"/>
          <w:sz w:val="22"/>
          <w:szCs w:val="22"/>
        </w:rPr>
      </w:pPr>
      <w:r>
        <w:rPr>
          <w:rFonts w:ascii="Arial" w:hAnsi="Arial" w:cs="Arial"/>
          <w:sz w:val="22"/>
          <w:szCs w:val="22"/>
        </w:rPr>
        <w:t>vincolato per spese correnti</w:t>
      </w:r>
      <w:r>
        <w:rPr>
          <w:rFonts w:ascii="Arial" w:hAnsi="Arial" w:cs="Arial"/>
          <w:sz w:val="22"/>
          <w:szCs w:val="22"/>
        </w:rPr>
        <w:tab/>
      </w:r>
      <w:r>
        <w:rPr>
          <w:rFonts w:ascii="Arial" w:hAnsi="Arial" w:cs="Arial"/>
          <w:sz w:val="22"/>
          <w:szCs w:val="22"/>
        </w:rPr>
        <w:tab/>
        <w:t>euro ...........</w:t>
      </w:r>
    </w:p>
    <w:p w:rsidR="00457C6B" w:rsidRDefault="0047703E">
      <w:pPr>
        <w:numPr>
          <w:ilvl w:val="0"/>
          <w:numId w:val="6"/>
        </w:numPr>
        <w:spacing w:before="120"/>
        <w:ind w:left="357" w:hanging="357"/>
        <w:rPr>
          <w:rFonts w:ascii="Arial" w:hAnsi="Arial" w:cs="Arial"/>
          <w:sz w:val="22"/>
          <w:szCs w:val="22"/>
        </w:rPr>
      </w:pPr>
      <w:r>
        <w:rPr>
          <w:rFonts w:ascii="Arial" w:hAnsi="Arial" w:cs="Arial"/>
          <w:sz w:val="22"/>
          <w:szCs w:val="22"/>
        </w:rPr>
        <w:t xml:space="preserve">vincolato per investimenti </w:t>
      </w:r>
      <w:r>
        <w:rPr>
          <w:rFonts w:ascii="Arial" w:hAnsi="Arial" w:cs="Arial"/>
          <w:sz w:val="22"/>
          <w:szCs w:val="22"/>
        </w:rPr>
        <w:tab/>
      </w:r>
      <w:r>
        <w:rPr>
          <w:rFonts w:ascii="Arial" w:hAnsi="Arial" w:cs="Arial"/>
          <w:sz w:val="22"/>
          <w:szCs w:val="22"/>
        </w:rPr>
        <w:tab/>
        <w:t>euro ...........</w:t>
      </w:r>
    </w:p>
    <w:p w:rsidR="00457C6B" w:rsidRDefault="0047703E">
      <w:pPr>
        <w:numPr>
          <w:ilvl w:val="0"/>
          <w:numId w:val="6"/>
        </w:numPr>
        <w:spacing w:before="120"/>
        <w:ind w:left="357" w:hanging="357"/>
        <w:rPr>
          <w:rFonts w:ascii="Arial" w:hAnsi="Arial" w:cs="Arial"/>
          <w:sz w:val="22"/>
          <w:szCs w:val="22"/>
        </w:rPr>
      </w:pPr>
      <w:r>
        <w:rPr>
          <w:rFonts w:ascii="Arial" w:hAnsi="Arial" w:cs="Arial"/>
          <w:sz w:val="22"/>
          <w:szCs w:val="22"/>
        </w:rPr>
        <w:t>per fondo ammortamento</w:t>
      </w:r>
      <w:r>
        <w:rPr>
          <w:rFonts w:ascii="Arial" w:hAnsi="Arial" w:cs="Arial"/>
          <w:sz w:val="22"/>
          <w:szCs w:val="22"/>
        </w:rPr>
        <w:tab/>
      </w:r>
      <w:r>
        <w:rPr>
          <w:rFonts w:ascii="Arial" w:hAnsi="Arial" w:cs="Arial"/>
          <w:sz w:val="22"/>
          <w:szCs w:val="22"/>
        </w:rPr>
        <w:tab/>
      </w:r>
      <w:r>
        <w:rPr>
          <w:rFonts w:ascii="Arial" w:hAnsi="Arial" w:cs="Arial"/>
          <w:sz w:val="22"/>
          <w:szCs w:val="22"/>
        </w:rPr>
        <w:tab/>
        <w:t>euro ...........</w:t>
      </w:r>
    </w:p>
    <w:p w:rsidR="00457C6B" w:rsidRDefault="0047703E">
      <w:pPr>
        <w:numPr>
          <w:ilvl w:val="0"/>
          <w:numId w:val="6"/>
        </w:numPr>
        <w:spacing w:before="120"/>
        <w:ind w:left="357" w:hanging="357"/>
        <w:rPr>
          <w:rFonts w:ascii="Arial" w:hAnsi="Arial" w:cs="Arial"/>
          <w:sz w:val="22"/>
          <w:szCs w:val="22"/>
        </w:rPr>
      </w:pPr>
      <w:r>
        <w:rPr>
          <w:rFonts w:ascii="Arial" w:hAnsi="Arial" w:cs="Arial"/>
          <w:sz w:val="22"/>
          <w:szCs w:val="22"/>
        </w:rPr>
        <w:t>non vincolato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euro ...........</w:t>
      </w:r>
    </w:p>
    <w:p w:rsidR="00457C6B" w:rsidRDefault="00457C6B">
      <w:pPr>
        <w:rPr>
          <w:rFonts w:ascii="Arial" w:hAnsi="Arial" w:cs="Arial"/>
          <w:i/>
          <w:sz w:val="20"/>
        </w:rPr>
      </w:pPr>
    </w:p>
    <w:p w:rsidR="00457C6B" w:rsidRDefault="0047703E">
      <w:pPr>
        <w:jc w:val="both"/>
        <w:rPr>
          <w:rFonts w:ascii="Arial" w:hAnsi="Arial" w:cs="Arial"/>
          <w:b/>
          <w:i/>
          <w:color w:val="0000FF"/>
          <w:sz w:val="18"/>
          <w:szCs w:val="18"/>
        </w:rPr>
      </w:pPr>
      <w:r>
        <w:rPr>
          <w:rFonts w:ascii="Arial" w:hAnsi="Arial" w:cs="Arial"/>
          <w:b/>
          <w:i/>
          <w:color w:val="0000FF"/>
          <w:sz w:val="18"/>
          <w:szCs w:val="18"/>
        </w:rPr>
        <w:t xml:space="preserve">(Ai sensi del 2° comma dell’art.187 del </w:t>
      </w:r>
      <w:hyperlink r:id="rId26" w:history="1">
        <w:proofErr w:type="spellStart"/>
        <w:r>
          <w:rPr>
            <w:rStyle w:val="Collegamentoipertestuale"/>
            <w:rFonts w:ascii="Arial" w:hAnsi="Arial" w:cs="Arial"/>
            <w:b/>
            <w:sz w:val="18"/>
            <w:szCs w:val="18"/>
            <w:u w:val="none"/>
          </w:rPr>
          <w:t>Tuel</w:t>
        </w:r>
        <w:proofErr w:type="spellEnd"/>
      </w:hyperlink>
      <w:r>
        <w:rPr>
          <w:rFonts w:ascii="Arial" w:hAnsi="Arial" w:cs="Arial"/>
          <w:b/>
          <w:i/>
          <w:color w:val="0000FF"/>
          <w:sz w:val="18"/>
          <w:szCs w:val="18"/>
        </w:rPr>
        <w:t>, solo l’avanzo accertato con l’approvazione del rendiconto può essere destinato al finanziamento di spese d’investimento).</w:t>
      </w:r>
    </w:p>
    <w:p w:rsidR="00457C6B" w:rsidRDefault="00457C6B">
      <w:pPr>
        <w:rPr>
          <w:rFonts w:ascii="Arial" w:hAnsi="Arial" w:cs="Arial"/>
          <w:i/>
          <w:sz w:val="20"/>
        </w:rPr>
      </w:pPr>
    </w:p>
    <w:p w:rsidR="00457C6B" w:rsidRDefault="0047703E">
      <w:pPr>
        <w:jc w:val="both"/>
        <w:rPr>
          <w:rFonts w:ascii="Arial" w:hAnsi="Arial" w:cs="Arial"/>
          <w:sz w:val="22"/>
          <w:szCs w:val="22"/>
        </w:rPr>
      </w:pPr>
      <w:r>
        <w:rPr>
          <w:rFonts w:ascii="Arial" w:hAnsi="Arial" w:cs="Arial"/>
          <w:sz w:val="22"/>
          <w:szCs w:val="22"/>
        </w:rPr>
        <w:t xml:space="preserve">Come stabilito dal comma 3 bis art. 187 </w:t>
      </w:r>
      <w:proofErr w:type="spellStart"/>
      <w:r>
        <w:rPr>
          <w:rFonts w:ascii="Arial" w:hAnsi="Arial" w:cs="Arial"/>
          <w:sz w:val="20"/>
          <w:szCs w:val="20"/>
        </w:rPr>
        <w:t>Tuel</w:t>
      </w:r>
      <w:proofErr w:type="spellEnd"/>
      <w:r>
        <w:rPr>
          <w:rFonts w:ascii="Arial" w:hAnsi="Arial" w:cs="Arial"/>
          <w:sz w:val="22"/>
          <w:szCs w:val="22"/>
        </w:rPr>
        <w:t xml:space="preserve"> l’avanzo d’amministrazione non vincolato non potrà essere utilizzato nel caso in cui l’ente si trovi in una delle situazioni previste dagli articoli:</w:t>
      </w:r>
    </w:p>
    <w:p w:rsidR="00457C6B" w:rsidRDefault="0047703E">
      <w:pPr>
        <w:numPr>
          <w:ilvl w:val="0"/>
          <w:numId w:val="28"/>
        </w:numPr>
        <w:jc w:val="both"/>
        <w:rPr>
          <w:rFonts w:ascii="Arial" w:hAnsi="Arial" w:cs="Arial"/>
          <w:sz w:val="22"/>
          <w:szCs w:val="22"/>
        </w:rPr>
      </w:pPr>
      <w:r>
        <w:rPr>
          <w:rFonts w:ascii="Arial" w:hAnsi="Arial" w:cs="Arial"/>
          <w:sz w:val="22"/>
          <w:szCs w:val="22"/>
        </w:rPr>
        <w:t>195 – utilizzo di entrate a specifica destinazione</w:t>
      </w:r>
    </w:p>
    <w:p w:rsidR="00457C6B" w:rsidRDefault="0047703E">
      <w:pPr>
        <w:numPr>
          <w:ilvl w:val="0"/>
          <w:numId w:val="28"/>
        </w:numPr>
        <w:jc w:val="both"/>
        <w:rPr>
          <w:rFonts w:ascii="Arial" w:hAnsi="Arial" w:cs="Arial"/>
          <w:sz w:val="22"/>
          <w:szCs w:val="22"/>
        </w:rPr>
      </w:pPr>
      <w:r>
        <w:rPr>
          <w:rFonts w:ascii="Arial" w:hAnsi="Arial" w:cs="Arial"/>
          <w:sz w:val="22"/>
          <w:szCs w:val="22"/>
        </w:rPr>
        <w:t>222 – anticipazione di tesoreria.</w:t>
      </w:r>
    </w:p>
    <w:p w:rsidR="00457C6B" w:rsidRDefault="0047703E">
      <w:pPr>
        <w:jc w:val="both"/>
        <w:rPr>
          <w:rFonts w:ascii="Arial" w:hAnsi="Arial" w:cs="Arial"/>
          <w:sz w:val="22"/>
          <w:szCs w:val="22"/>
        </w:rPr>
      </w:pPr>
      <w:r>
        <w:rPr>
          <w:rFonts w:ascii="Arial" w:hAnsi="Arial" w:cs="Arial"/>
          <w:sz w:val="22"/>
          <w:szCs w:val="22"/>
        </w:rPr>
        <w:t xml:space="preserve">L’avanzo non vincolato può in ogni caso essere utilizzato per i provvedimenti di riequilibrio di cui all’art. 193 del </w:t>
      </w:r>
      <w:proofErr w:type="spellStart"/>
      <w:r>
        <w:rPr>
          <w:rFonts w:ascii="Arial" w:hAnsi="Arial" w:cs="Arial"/>
          <w:sz w:val="20"/>
          <w:szCs w:val="20"/>
        </w:rPr>
        <w:t>Tuel</w:t>
      </w:r>
      <w:proofErr w:type="spellEnd"/>
      <w:r>
        <w:rPr>
          <w:rFonts w:ascii="Arial" w:hAnsi="Arial" w:cs="Arial"/>
          <w:sz w:val="22"/>
          <w:szCs w:val="22"/>
        </w:rPr>
        <w:t>.</w:t>
      </w: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7703E">
      <w:pPr>
        <w:jc w:val="both"/>
        <w:rPr>
          <w:rFonts w:ascii="Arial" w:hAnsi="Arial" w:cs="Arial"/>
          <w:sz w:val="22"/>
          <w:szCs w:val="22"/>
        </w:rPr>
      </w:pPr>
      <w:r>
        <w:rPr>
          <w:rFonts w:ascii="Arial" w:hAnsi="Arial" w:cs="Arial"/>
          <w:sz w:val="22"/>
          <w:szCs w:val="22"/>
        </w:rPr>
        <w:t xml:space="preserve">L’avanzo presunto previsto nel bilancio 2015, </w:t>
      </w:r>
      <w:r>
        <w:rPr>
          <w:rFonts w:ascii="Arial" w:hAnsi="Arial" w:cs="Arial"/>
          <w:b/>
          <w:sz w:val="22"/>
          <w:szCs w:val="22"/>
        </w:rPr>
        <w:t>si può considerare realizzabile</w:t>
      </w:r>
      <w:r>
        <w:rPr>
          <w:rFonts w:ascii="Arial" w:hAnsi="Arial" w:cs="Arial"/>
          <w:sz w:val="22"/>
          <w:szCs w:val="22"/>
        </w:rPr>
        <w:t xml:space="preserve"> in relazione all’esigibilità dei residui attivi ed è applicato per il finanziamento di:</w:t>
      </w:r>
    </w:p>
    <w:p w:rsidR="00457C6B" w:rsidRDefault="00457C6B">
      <w:pPr>
        <w:jc w:val="both"/>
        <w:rPr>
          <w:rFonts w:ascii="Arial" w:hAnsi="Arial" w:cs="Arial"/>
          <w:sz w:val="22"/>
          <w:szCs w:val="22"/>
        </w:rPr>
      </w:pPr>
    </w:p>
    <w:tbl>
      <w:tblPr>
        <w:tblW w:w="9520" w:type="dxa"/>
        <w:tblInd w:w="55" w:type="dxa"/>
        <w:tblCellMar>
          <w:left w:w="70" w:type="dxa"/>
          <w:right w:w="70" w:type="dxa"/>
        </w:tblCellMar>
        <w:tblLook w:val="00A0"/>
      </w:tblPr>
      <w:tblGrid>
        <w:gridCol w:w="3220"/>
        <w:gridCol w:w="1540"/>
        <w:gridCol w:w="3220"/>
        <w:gridCol w:w="1540"/>
      </w:tblGrid>
      <w:tr w:rsidR="00457C6B">
        <w:trPr>
          <w:trHeight w:val="255"/>
        </w:trPr>
        <w:tc>
          <w:tcPr>
            <w:tcW w:w="3220" w:type="dxa"/>
            <w:tcBorders>
              <w:top w:val="nil"/>
              <w:left w:val="nil"/>
              <w:bottom w:val="nil"/>
              <w:right w:val="nil"/>
            </w:tcBorders>
            <w:noWrap/>
            <w:vAlign w:val="bottom"/>
          </w:tcPr>
          <w:p w:rsidR="00457C6B" w:rsidRDefault="00457C6B">
            <w:pPr>
              <w:rPr>
                <w:rFonts w:ascii="Arial" w:hAnsi="Arial" w:cs="Arial"/>
                <w:sz w:val="20"/>
                <w:szCs w:val="20"/>
              </w:rPr>
            </w:pPr>
          </w:p>
        </w:tc>
        <w:tc>
          <w:tcPr>
            <w:tcW w:w="1540" w:type="dxa"/>
            <w:tcBorders>
              <w:top w:val="nil"/>
              <w:left w:val="nil"/>
              <w:bottom w:val="nil"/>
              <w:right w:val="nil"/>
            </w:tcBorders>
            <w:noWrap/>
            <w:vAlign w:val="bottom"/>
          </w:tcPr>
          <w:p w:rsidR="00457C6B" w:rsidRDefault="00457C6B">
            <w:pPr>
              <w:rPr>
                <w:rFonts w:ascii="Arial" w:hAnsi="Arial" w:cs="Arial"/>
                <w:sz w:val="20"/>
                <w:szCs w:val="20"/>
              </w:rPr>
            </w:pPr>
          </w:p>
        </w:tc>
        <w:tc>
          <w:tcPr>
            <w:tcW w:w="3220" w:type="dxa"/>
            <w:tcBorders>
              <w:top w:val="nil"/>
              <w:left w:val="nil"/>
              <w:bottom w:val="nil"/>
              <w:right w:val="nil"/>
            </w:tcBorders>
            <w:noWrap/>
            <w:vAlign w:val="bottom"/>
          </w:tcPr>
          <w:p w:rsidR="00457C6B" w:rsidRDefault="00457C6B">
            <w:pPr>
              <w:rPr>
                <w:rFonts w:ascii="Arial" w:hAnsi="Arial" w:cs="Arial"/>
                <w:sz w:val="20"/>
                <w:szCs w:val="20"/>
              </w:rPr>
            </w:pPr>
          </w:p>
        </w:tc>
        <w:tc>
          <w:tcPr>
            <w:tcW w:w="1540" w:type="dxa"/>
            <w:tcBorders>
              <w:top w:val="nil"/>
              <w:left w:val="nil"/>
              <w:bottom w:val="nil"/>
              <w:right w:val="nil"/>
            </w:tcBorders>
            <w:noWrap/>
            <w:vAlign w:val="bottom"/>
          </w:tcPr>
          <w:p w:rsidR="00457C6B" w:rsidRDefault="00457C6B">
            <w:pPr>
              <w:jc w:val="right"/>
              <w:rPr>
                <w:rFonts w:ascii="Arial" w:hAnsi="Arial" w:cs="Arial"/>
                <w:sz w:val="16"/>
                <w:szCs w:val="16"/>
              </w:rPr>
            </w:pPr>
          </w:p>
        </w:tc>
      </w:tr>
      <w:tr w:rsidR="00457C6B">
        <w:trPr>
          <w:trHeight w:val="255"/>
        </w:trPr>
        <w:tc>
          <w:tcPr>
            <w:tcW w:w="9520" w:type="dxa"/>
            <w:gridSpan w:val="4"/>
            <w:tcBorders>
              <w:top w:val="single" w:sz="4" w:space="0" w:color="auto"/>
              <w:left w:val="single" w:sz="4" w:space="0" w:color="auto"/>
              <w:bottom w:val="single" w:sz="4" w:space="0" w:color="auto"/>
              <w:right w:val="single" w:sz="4" w:space="0" w:color="000000"/>
            </w:tcBorders>
            <w:vAlign w:val="bottom"/>
          </w:tcPr>
          <w:p w:rsidR="00457C6B" w:rsidRDefault="0047703E">
            <w:pPr>
              <w:jc w:val="center"/>
              <w:rPr>
                <w:rFonts w:ascii="Arial" w:hAnsi="Arial" w:cs="Arial"/>
                <w:b/>
                <w:bCs/>
                <w:sz w:val="18"/>
                <w:szCs w:val="18"/>
              </w:rPr>
            </w:pPr>
            <w:r>
              <w:rPr>
                <w:rFonts w:ascii="Arial" w:hAnsi="Arial" w:cs="Arial"/>
                <w:b/>
                <w:bCs/>
                <w:sz w:val="18"/>
                <w:szCs w:val="18"/>
              </w:rPr>
              <w:t>Bilancio di previsione 2015</w:t>
            </w:r>
          </w:p>
        </w:tc>
      </w:tr>
      <w:tr w:rsidR="00457C6B">
        <w:trPr>
          <w:trHeight w:val="480"/>
        </w:trPr>
        <w:tc>
          <w:tcPr>
            <w:tcW w:w="3220" w:type="dxa"/>
            <w:tcBorders>
              <w:top w:val="nil"/>
              <w:left w:val="single" w:sz="4" w:space="0" w:color="auto"/>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Avanzo vincolato applicato alla spesa corrente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c>
          <w:tcPr>
            <w:tcW w:w="322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Avanzo vincolato applicato alla spesa in conto capitale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r>
      <w:tr w:rsidR="00457C6B">
        <w:trPr>
          <w:trHeight w:val="720"/>
        </w:trPr>
        <w:tc>
          <w:tcPr>
            <w:tcW w:w="3220" w:type="dxa"/>
            <w:tcBorders>
              <w:top w:val="nil"/>
              <w:left w:val="single" w:sz="4" w:space="0" w:color="auto"/>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Avanzo disponibile applicato per il finanziamento di debiti fuori bilancio di parte corrente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c>
          <w:tcPr>
            <w:tcW w:w="3220" w:type="dxa"/>
            <w:tcBorders>
              <w:top w:val="nil"/>
              <w:left w:val="nil"/>
              <w:bottom w:val="single" w:sz="4" w:space="0" w:color="auto"/>
              <w:right w:val="single" w:sz="4" w:space="0" w:color="auto"/>
            </w:tcBorders>
          </w:tcPr>
          <w:p w:rsidR="00457C6B" w:rsidRDefault="0047703E">
            <w:pPr>
              <w:rPr>
                <w:rFonts w:ascii="Arial" w:hAnsi="Arial" w:cs="Arial"/>
                <w:sz w:val="18"/>
                <w:szCs w:val="18"/>
              </w:rPr>
            </w:pPr>
            <w:r>
              <w:rPr>
                <w:rFonts w:ascii="Arial" w:hAnsi="Arial" w:cs="Arial"/>
                <w:sz w:val="18"/>
                <w:szCs w:val="18"/>
              </w:rPr>
              <w:t>Avanzo disponibile applicato per il finanziamento di debiti fuori bilancio di parte capitale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r>
      <w:tr w:rsidR="00457C6B">
        <w:trPr>
          <w:trHeight w:val="720"/>
        </w:trPr>
        <w:tc>
          <w:tcPr>
            <w:tcW w:w="3220" w:type="dxa"/>
            <w:tcBorders>
              <w:top w:val="nil"/>
              <w:left w:val="single" w:sz="4" w:space="0" w:color="auto"/>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Avanzo disponibile applicato per il finanziamento di altre spese correnti non ripetitive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c>
          <w:tcPr>
            <w:tcW w:w="3220" w:type="dxa"/>
            <w:tcBorders>
              <w:top w:val="nil"/>
              <w:left w:val="nil"/>
              <w:bottom w:val="single" w:sz="4" w:space="0" w:color="auto"/>
              <w:right w:val="single" w:sz="4" w:space="0" w:color="auto"/>
            </w:tcBorders>
          </w:tcPr>
          <w:p w:rsidR="00457C6B" w:rsidRDefault="0047703E">
            <w:pPr>
              <w:rPr>
                <w:rFonts w:ascii="Arial" w:hAnsi="Arial" w:cs="Arial"/>
                <w:sz w:val="18"/>
                <w:szCs w:val="18"/>
              </w:rPr>
            </w:pPr>
            <w:r>
              <w:rPr>
                <w:rFonts w:ascii="Arial" w:hAnsi="Arial" w:cs="Arial"/>
                <w:sz w:val="18"/>
                <w:szCs w:val="18"/>
              </w:rPr>
              <w:t>Avanzo disponibile applicato per il finanziamento di altre spese in c/capitale</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r>
      <w:tr w:rsidR="00457C6B">
        <w:trPr>
          <w:trHeight w:val="720"/>
        </w:trPr>
        <w:tc>
          <w:tcPr>
            <w:tcW w:w="3220" w:type="dxa"/>
            <w:tcBorders>
              <w:top w:val="nil"/>
              <w:left w:val="single" w:sz="4" w:space="0" w:color="auto"/>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Avanzo disponibile applicato per l’estinzione anticipata di prestiti</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c>
          <w:tcPr>
            <w:tcW w:w="3220" w:type="dxa"/>
            <w:tcBorders>
              <w:top w:val="nil"/>
              <w:left w:val="nil"/>
              <w:bottom w:val="single" w:sz="4" w:space="0" w:color="auto"/>
              <w:right w:val="single" w:sz="4" w:space="0" w:color="auto"/>
            </w:tcBorders>
          </w:tcPr>
          <w:p w:rsidR="00457C6B" w:rsidRDefault="0047703E">
            <w:pPr>
              <w:rPr>
                <w:rFonts w:ascii="Arial" w:hAnsi="Arial" w:cs="Arial"/>
                <w:sz w:val="18"/>
                <w:szCs w:val="18"/>
              </w:rPr>
            </w:pPr>
            <w:r>
              <w:rPr>
                <w:rFonts w:ascii="Arial" w:hAnsi="Arial" w:cs="Arial"/>
                <w:sz w:val="18"/>
                <w:szCs w:val="18"/>
              </w:rPr>
              <w:t>Avanzo vincolato applicato per il reinvestimento delle quote accantonate per ammortamento</w:t>
            </w:r>
          </w:p>
        </w:tc>
        <w:tc>
          <w:tcPr>
            <w:tcW w:w="1540" w:type="dxa"/>
            <w:tcBorders>
              <w:top w:val="nil"/>
              <w:left w:val="nil"/>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 </w:t>
            </w:r>
          </w:p>
        </w:tc>
      </w:tr>
      <w:tr w:rsidR="00457C6B">
        <w:trPr>
          <w:trHeight w:val="960"/>
        </w:trPr>
        <w:tc>
          <w:tcPr>
            <w:tcW w:w="3220" w:type="dxa"/>
            <w:tcBorders>
              <w:top w:val="nil"/>
              <w:left w:val="single" w:sz="4" w:space="0" w:color="auto"/>
              <w:bottom w:val="single" w:sz="4" w:space="0" w:color="auto"/>
              <w:right w:val="single" w:sz="4" w:space="0" w:color="auto"/>
            </w:tcBorders>
            <w:vAlign w:val="bottom"/>
          </w:tcPr>
          <w:p w:rsidR="00457C6B" w:rsidRDefault="0047703E">
            <w:pPr>
              <w:rPr>
                <w:rFonts w:ascii="Arial" w:hAnsi="Arial" w:cs="Arial"/>
                <w:sz w:val="18"/>
                <w:szCs w:val="18"/>
              </w:rPr>
            </w:pPr>
            <w:r>
              <w:rPr>
                <w:rFonts w:ascii="Arial" w:hAnsi="Arial" w:cs="Arial"/>
                <w:sz w:val="18"/>
                <w:szCs w:val="18"/>
              </w:rPr>
              <w:t>Totale avanzo di amministrazione applicato alla spesa corrente o al rimborso della quota capitale di mutui o prestiti</w:t>
            </w:r>
          </w:p>
        </w:tc>
        <w:tc>
          <w:tcPr>
            <w:tcW w:w="1540" w:type="dxa"/>
            <w:tcBorders>
              <w:top w:val="nil"/>
              <w:left w:val="nil"/>
              <w:bottom w:val="single" w:sz="4" w:space="0" w:color="auto"/>
              <w:right w:val="single" w:sz="4" w:space="0" w:color="auto"/>
            </w:tcBorders>
            <w:vAlign w:val="bottom"/>
          </w:tcPr>
          <w:p w:rsidR="00457C6B" w:rsidRDefault="0047703E">
            <w:pPr>
              <w:jc w:val="right"/>
              <w:rPr>
                <w:rFonts w:ascii="Arial" w:hAnsi="Arial" w:cs="Arial"/>
                <w:b/>
                <w:bCs/>
                <w:sz w:val="18"/>
                <w:szCs w:val="18"/>
              </w:rPr>
            </w:pPr>
            <w:r>
              <w:rPr>
                <w:rFonts w:ascii="Arial" w:hAnsi="Arial" w:cs="Arial"/>
                <w:b/>
                <w:bCs/>
                <w:sz w:val="18"/>
                <w:szCs w:val="18"/>
              </w:rPr>
              <w:t>0,00</w:t>
            </w:r>
          </w:p>
        </w:tc>
        <w:tc>
          <w:tcPr>
            <w:tcW w:w="3220" w:type="dxa"/>
            <w:tcBorders>
              <w:top w:val="nil"/>
              <w:left w:val="nil"/>
              <w:bottom w:val="single" w:sz="4" w:space="0" w:color="auto"/>
              <w:right w:val="single" w:sz="4" w:space="0" w:color="auto"/>
            </w:tcBorders>
          </w:tcPr>
          <w:p w:rsidR="00457C6B" w:rsidRDefault="0047703E">
            <w:pPr>
              <w:rPr>
                <w:rFonts w:ascii="Arial" w:hAnsi="Arial" w:cs="Arial"/>
                <w:sz w:val="18"/>
                <w:szCs w:val="18"/>
              </w:rPr>
            </w:pPr>
            <w:r>
              <w:rPr>
                <w:rFonts w:ascii="Arial" w:hAnsi="Arial" w:cs="Arial"/>
                <w:sz w:val="18"/>
                <w:szCs w:val="18"/>
              </w:rPr>
              <w:t>Totale avanzo di amministrazione applicato alla spesa in conto capitale</w:t>
            </w:r>
          </w:p>
        </w:tc>
        <w:tc>
          <w:tcPr>
            <w:tcW w:w="1540" w:type="dxa"/>
            <w:tcBorders>
              <w:top w:val="nil"/>
              <w:left w:val="nil"/>
              <w:bottom w:val="single" w:sz="4" w:space="0" w:color="auto"/>
              <w:right w:val="single" w:sz="4" w:space="0" w:color="auto"/>
            </w:tcBorders>
            <w:vAlign w:val="bottom"/>
          </w:tcPr>
          <w:p w:rsidR="00457C6B" w:rsidRDefault="0047703E">
            <w:pPr>
              <w:jc w:val="right"/>
              <w:rPr>
                <w:rFonts w:ascii="Arial" w:hAnsi="Arial" w:cs="Arial"/>
                <w:b/>
                <w:bCs/>
                <w:sz w:val="18"/>
                <w:szCs w:val="18"/>
              </w:rPr>
            </w:pPr>
            <w:r>
              <w:rPr>
                <w:rFonts w:ascii="Arial" w:hAnsi="Arial" w:cs="Arial"/>
                <w:b/>
                <w:bCs/>
                <w:sz w:val="18"/>
                <w:szCs w:val="18"/>
              </w:rPr>
              <w:t>0,00</w:t>
            </w:r>
          </w:p>
        </w:tc>
      </w:tr>
    </w:tbl>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7703E">
      <w:pPr>
        <w:pStyle w:val="Titolo1"/>
      </w:pPr>
      <w:bookmarkStart w:id="18" w:name="_Toc408988064"/>
      <w:r>
        <w:t>BILANCIO PLURIENNALE</w:t>
      </w:r>
      <w:bookmarkEnd w:id="18"/>
    </w:p>
    <w:p w:rsidR="00457C6B" w:rsidRDefault="0047703E">
      <w:pPr>
        <w:rPr>
          <w:rFonts w:ascii="Arial" w:hAnsi="Arial" w:cs="Arial"/>
          <w:b/>
          <w:u w:val="single"/>
        </w:rPr>
      </w:pPr>
      <w:bookmarkStart w:id="19" w:name="_6._Verifica_dell’equilibrio"/>
      <w:bookmarkEnd w:id="19"/>
      <w:r>
        <w:br w:type="page"/>
      </w:r>
    </w:p>
    <w:p w:rsidR="00042557" w:rsidRDefault="0047703E">
      <w:pPr>
        <w:pStyle w:val="Titolo2"/>
      </w:pPr>
      <w:bookmarkStart w:id="20" w:name="_Toc408988065"/>
      <w:r>
        <w:lastRenderedPageBreak/>
        <w:t>7. Verifica dell’equilibrio corrente  e in conto capitale nel bilancio pluriennale</w:t>
      </w:r>
      <w:bookmarkEnd w:id="20"/>
    </w:p>
    <w:p w:rsidR="00692256" w:rsidRPr="00692256" w:rsidRDefault="00692256" w:rsidP="00692256">
      <w:r>
        <w:object w:dxaOrig="8258" w:dyaOrig="11007">
          <v:shape id="_x0000_i1033" type="#_x0000_t75" style="width:413pt;height:550.2pt" o:ole="">
            <v:imagedata r:id="rId27" o:title=""/>
          </v:shape>
          <o:OLEObject Type="Embed" ProgID="Excel.Sheet.8" ShapeID="_x0000_i1033" DrawAspect="Content" ObjectID="_1484374334" r:id="rId28"/>
        </w:object>
      </w:r>
    </w:p>
    <w:p w:rsidR="00CF5982" w:rsidRPr="00CF5982" w:rsidRDefault="00CF5982" w:rsidP="00CF5982"/>
    <w:p w:rsidR="00457C6B" w:rsidRDefault="0047703E">
      <w:pPr>
        <w:rPr>
          <w:rFonts w:ascii="Arial" w:hAnsi="Arial" w:cs="Arial"/>
          <w:color w:val="0000FF"/>
          <w:sz w:val="20"/>
          <w:szCs w:val="16"/>
        </w:rPr>
      </w:pPr>
      <w:bookmarkStart w:id="21" w:name="_MON_1482250306"/>
      <w:bookmarkStart w:id="22" w:name="_MON_1482249966"/>
      <w:bookmarkStart w:id="23" w:name="_MON_1482250174"/>
      <w:bookmarkStart w:id="24" w:name="RANGE!A42"/>
      <w:bookmarkEnd w:id="21"/>
      <w:bookmarkEnd w:id="22"/>
      <w:bookmarkEnd w:id="23"/>
      <w:bookmarkEnd w:id="24"/>
      <w:r>
        <w:rPr>
          <w:rFonts w:ascii="Arial" w:hAnsi="Arial" w:cs="Arial"/>
          <w:color w:val="0000FF"/>
          <w:sz w:val="20"/>
          <w:szCs w:val="16"/>
        </w:rPr>
        <w:t>(note per gli equilibri correnti)</w:t>
      </w:r>
    </w:p>
    <w:p w:rsidR="00692256" w:rsidRDefault="00692256">
      <w:pPr>
        <w:rPr>
          <w:rFonts w:ascii="Arial" w:hAnsi="Arial" w:cs="Arial"/>
          <w:color w:val="0000FF"/>
          <w:sz w:val="20"/>
          <w:szCs w:val="16"/>
        </w:rPr>
      </w:pPr>
    </w:p>
    <w:p w:rsidR="00457C6B" w:rsidRDefault="0047703E">
      <w:pPr>
        <w:rPr>
          <w:rFonts w:ascii="Arial" w:hAnsi="Arial" w:cs="Arial"/>
          <w:b/>
          <w:sz w:val="18"/>
          <w:szCs w:val="18"/>
        </w:rPr>
      </w:pPr>
      <w:r>
        <w:rPr>
          <w:rFonts w:ascii="Arial" w:hAnsi="Arial" w:cs="Arial"/>
          <w:b/>
          <w:sz w:val="18"/>
          <w:szCs w:val="18"/>
        </w:rPr>
        <w:t xml:space="preserve"> La differenza negativa di parte corrente per l’anno </w:t>
      </w:r>
      <w:r>
        <w:rPr>
          <w:rFonts w:ascii="Arial" w:hAnsi="Arial" w:cs="Arial"/>
          <w:b/>
          <w:sz w:val="18"/>
          <w:szCs w:val="18"/>
          <w:u w:val="single"/>
        </w:rPr>
        <w:t>2016</w:t>
      </w:r>
      <w:r>
        <w:rPr>
          <w:rFonts w:ascii="Arial" w:hAnsi="Arial" w:cs="Arial"/>
          <w:b/>
          <w:sz w:val="18"/>
          <w:szCs w:val="18"/>
        </w:rPr>
        <w:t xml:space="preserve"> è finanziata con:</w:t>
      </w:r>
    </w:p>
    <w:p w:rsidR="00692256" w:rsidRDefault="00692256">
      <w:pPr>
        <w:rPr>
          <w:rFonts w:ascii="Arial" w:hAnsi="Arial" w:cs="Arial"/>
          <w:b/>
          <w:sz w:val="18"/>
          <w:szCs w:val="18"/>
        </w:rPr>
      </w:pPr>
      <w:r w:rsidRPr="00824CF3">
        <w:rPr>
          <w:rFonts w:ascii="Arial" w:hAnsi="Arial" w:cs="Arial"/>
          <w:b/>
          <w:sz w:val="18"/>
          <w:szCs w:val="18"/>
        </w:rPr>
        <w:object w:dxaOrig="9235" w:dyaOrig="1301">
          <v:shape id="_x0000_i1034" type="#_x0000_t75" style="width:461.9pt;height:65.2pt" o:ole="">
            <v:imagedata r:id="rId29" o:title=""/>
          </v:shape>
          <o:OLEObject Type="Embed" ProgID="Excel.Sheet.8" ShapeID="_x0000_i1034" DrawAspect="Content" ObjectID="_1484374335" r:id="rId30"/>
        </w:object>
      </w:r>
    </w:p>
    <w:p w:rsidR="00692256" w:rsidRDefault="00692256">
      <w:pPr>
        <w:rPr>
          <w:rFonts w:ascii="Arial" w:hAnsi="Arial" w:cs="Arial"/>
          <w:b/>
          <w:sz w:val="18"/>
          <w:szCs w:val="18"/>
        </w:rPr>
      </w:pPr>
    </w:p>
    <w:p w:rsidR="00692256" w:rsidRDefault="00692256">
      <w:pPr>
        <w:rPr>
          <w:rFonts w:ascii="Arial" w:hAnsi="Arial" w:cs="Arial"/>
          <w:b/>
          <w:sz w:val="18"/>
          <w:szCs w:val="18"/>
        </w:rPr>
      </w:pPr>
    </w:p>
    <w:p w:rsidR="00CF5982" w:rsidRDefault="00CF5982">
      <w:pPr>
        <w:rPr>
          <w:rFonts w:ascii="Arial" w:hAnsi="Arial" w:cs="Arial"/>
          <w:b/>
          <w:sz w:val="18"/>
          <w:szCs w:val="18"/>
        </w:rPr>
      </w:pPr>
    </w:p>
    <w:p w:rsidR="00457C6B" w:rsidRDefault="00457C6B">
      <w:pPr>
        <w:rPr>
          <w:rFonts w:ascii="Arial" w:hAnsi="Arial" w:cs="Arial"/>
          <w:b/>
          <w:sz w:val="18"/>
          <w:szCs w:val="18"/>
        </w:rPr>
      </w:pPr>
    </w:p>
    <w:p w:rsidR="00457C6B" w:rsidRDefault="00457C6B">
      <w:pPr>
        <w:rPr>
          <w:rFonts w:ascii="Arial" w:hAnsi="Arial" w:cs="Arial"/>
          <w:b/>
          <w:sz w:val="18"/>
          <w:szCs w:val="18"/>
        </w:rPr>
      </w:pPr>
    </w:p>
    <w:p w:rsidR="00457C6B" w:rsidRDefault="00457C6B">
      <w:pPr>
        <w:rPr>
          <w:rFonts w:ascii="Arial" w:hAnsi="Arial" w:cs="Arial"/>
          <w:sz w:val="22"/>
        </w:rPr>
      </w:pPr>
    </w:p>
    <w:p w:rsidR="00457C6B" w:rsidRDefault="0047703E">
      <w:pPr>
        <w:rPr>
          <w:rFonts w:ascii="Arial" w:hAnsi="Arial" w:cs="Arial"/>
          <w:b/>
          <w:sz w:val="18"/>
          <w:szCs w:val="18"/>
        </w:rPr>
      </w:pPr>
      <w:r>
        <w:rPr>
          <w:rFonts w:ascii="Arial" w:hAnsi="Arial" w:cs="Arial"/>
          <w:b/>
          <w:sz w:val="18"/>
          <w:szCs w:val="18"/>
        </w:rPr>
        <w:t xml:space="preserve">La differenza positiva di parte corrente per l’anno </w:t>
      </w:r>
      <w:r>
        <w:rPr>
          <w:rFonts w:ascii="Arial" w:hAnsi="Arial" w:cs="Arial"/>
          <w:b/>
          <w:sz w:val="18"/>
          <w:szCs w:val="18"/>
          <w:u w:val="single"/>
        </w:rPr>
        <w:t>2016</w:t>
      </w:r>
      <w:r>
        <w:rPr>
          <w:rFonts w:ascii="Arial" w:hAnsi="Arial" w:cs="Arial"/>
          <w:b/>
          <w:sz w:val="18"/>
          <w:szCs w:val="18"/>
        </w:rPr>
        <w:t xml:space="preserve"> da destinare al finanziamento di spese del titolo II deriva da:</w:t>
      </w:r>
    </w:p>
    <w:p w:rsidR="00CF5982" w:rsidRDefault="00CF5982">
      <w:pPr>
        <w:rPr>
          <w:rFonts w:ascii="Arial" w:hAnsi="Arial" w:cs="Arial"/>
          <w:b/>
          <w:sz w:val="18"/>
          <w:szCs w:val="18"/>
        </w:rPr>
      </w:pPr>
      <w:r w:rsidRPr="00B771D5">
        <w:rPr>
          <w:rFonts w:ascii="Arial" w:hAnsi="Arial" w:cs="Arial"/>
          <w:b/>
          <w:sz w:val="18"/>
          <w:szCs w:val="18"/>
        </w:rPr>
        <w:object w:dxaOrig="9126" w:dyaOrig="2459">
          <v:shape id="_x0000_i1035" type="#_x0000_t75" style="width:456.45pt;height:122.95pt" o:ole="">
            <v:imagedata r:id="rId31" o:title=""/>
          </v:shape>
          <o:OLEObject Type="Embed" ProgID="Excel.Sheet.8" ShapeID="_x0000_i1035" DrawAspect="Content" ObjectID="_1484374336" r:id="rId32"/>
        </w:object>
      </w:r>
    </w:p>
    <w:p w:rsidR="00AB4CC5" w:rsidRDefault="00AB4CC5">
      <w:pPr>
        <w:rPr>
          <w:rFonts w:ascii="Arial" w:hAnsi="Arial" w:cs="Arial"/>
          <w:b/>
          <w:sz w:val="18"/>
          <w:szCs w:val="18"/>
        </w:rPr>
      </w:pPr>
    </w:p>
    <w:p w:rsidR="00457C6B" w:rsidRDefault="00457C6B">
      <w:pPr>
        <w:rPr>
          <w:rFonts w:ascii="Arial" w:hAnsi="Arial" w:cs="Arial"/>
          <w:b/>
          <w:sz w:val="18"/>
          <w:szCs w:val="18"/>
        </w:rPr>
      </w:pPr>
    </w:p>
    <w:tbl>
      <w:tblPr>
        <w:tblW w:w="8672" w:type="dxa"/>
        <w:tblInd w:w="70" w:type="dxa"/>
        <w:tblCellMar>
          <w:left w:w="70" w:type="dxa"/>
          <w:right w:w="70" w:type="dxa"/>
        </w:tblCellMar>
        <w:tblLook w:val="00A0"/>
      </w:tblPr>
      <w:tblGrid>
        <w:gridCol w:w="6836"/>
        <w:gridCol w:w="1836"/>
      </w:tblGrid>
      <w:tr w:rsidR="00457C6B">
        <w:trPr>
          <w:trHeight w:val="255"/>
        </w:trPr>
        <w:tc>
          <w:tcPr>
            <w:tcW w:w="6836" w:type="dxa"/>
            <w:tcBorders>
              <w:top w:val="nil"/>
              <w:left w:val="nil"/>
              <w:bottom w:val="nil"/>
              <w:right w:val="nil"/>
            </w:tcBorders>
            <w:noWrap/>
            <w:vAlign w:val="bottom"/>
          </w:tcPr>
          <w:p w:rsidR="00457C6B" w:rsidRDefault="00457C6B">
            <w:pPr>
              <w:rPr>
                <w:rFonts w:ascii="Arial" w:hAnsi="Arial" w:cs="Arial"/>
                <w:sz w:val="20"/>
                <w:szCs w:val="20"/>
              </w:rPr>
            </w:pPr>
          </w:p>
        </w:tc>
        <w:tc>
          <w:tcPr>
            <w:tcW w:w="1836" w:type="dxa"/>
            <w:tcBorders>
              <w:top w:val="nil"/>
              <w:left w:val="nil"/>
              <w:bottom w:val="nil"/>
              <w:right w:val="nil"/>
            </w:tcBorders>
            <w:noWrap/>
            <w:vAlign w:val="bottom"/>
          </w:tcPr>
          <w:p w:rsidR="00457C6B" w:rsidRDefault="00457C6B">
            <w:pPr>
              <w:jc w:val="right"/>
              <w:rPr>
                <w:rFonts w:ascii="Arial" w:hAnsi="Arial" w:cs="Arial"/>
                <w:sz w:val="16"/>
                <w:szCs w:val="16"/>
              </w:rPr>
            </w:pPr>
          </w:p>
        </w:tc>
      </w:tr>
    </w:tbl>
    <w:p w:rsidR="00457C6B" w:rsidRDefault="00457C6B">
      <w:pPr>
        <w:jc w:val="center"/>
        <w:rPr>
          <w:rFonts w:ascii="Arial" w:hAnsi="Arial" w:cs="Arial"/>
          <w:b/>
          <w:sz w:val="18"/>
          <w:szCs w:val="18"/>
        </w:rPr>
      </w:pPr>
    </w:p>
    <w:p w:rsidR="00457C6B" w:rsidRDefault="00457C6B">
      <w:pPr>
        <w:jc w:val="center"/>
        <w:rPr>
          <w:rFonts w:ascii="Arial" w:hAnsi="Arial" w:cs="Arial"/>
          <w:b/>
          <w:sz w:val="18"/>
          <w:szCs w:val="18"/>
        </w:rPr>
      </w:pPr>
    </w:p>
    <w:p w:rsidR="00457C6B" w:rsidRDefault="0047703E">
      <w:pPr>
        <w:rPr>
          <w:rFonts w:ascii="Arial" w:hAnsi="Arial" w:cs="Arial"/>
          <w:b/>
          <w:sz w:val="18"/>
          <w:szCs w:val="18"/>
        </w:rPr>
      </w:pPr>
      <w:r>
        <w:rPr>
          <w:rFonts w:ascii="Arial" w:hAnsi="Arial" w:cs="Arial"/>
          <w:b/>
          <w:sz w:val="18"/>
          <w:szCs w:val="18"/>
        </w:rPr>
        <w:t xml:space="preserve">La differenza negativa di parte corrente per l’anno </w:t>
      </w:r>
      <w:r>
        <w:rPr>
          <w:rFonts w:ascii="Arial" w:hAnsi="Arial" w:cs="Arial"/>
          <w:b/>
          <w:sz w:val="18"/>
          <w:szCs w:val="18"/>
          <w:u w:val="single"/>
        </w:rPr>
        <w:t>2017</w:t>
      </w:r>
      <w:r>
        <w:rPr>
          <w:rFonts w:ascii="Arial" w:hAnsi="Arial" w:cs="Arial"/>
          <w:b/>
          <w:sz w:val="18"/>
          <w:szCs w:val="18"/>
        </w:rPr>
        <w:t xml:space="preserve"> è finanziata con:</w:t>
      </w:r>
    </w:p>
    <w:p w:rsidR="00CF5982" w:rsidRDefault="00CF5982">
      <w:pPr>
        <w:rPr>
          <w:rFonts w:ascii="Arial" w:hAnsi="Arial" w:cs="Arial"/>
          <w:b/>
          <w:sz w:val="18"/>
          <w:szCs w:val="18"/>
        </w:rPr>
      </w:pPr>
      <w:r w:rsidRPr="00B771D5">
        <w:rPr>
          <w:rFonts w:ascii="Arial" w:hAnsi="Arial" w:cs="Arial"/>
          <w:b/>
          <w:sz w:val="18"/>
          <w:szCs w:val="18"/>
        </w:rPr>
        <w:object w:dxaOrig="9126" w:dyaOrig="1254">
          <v:shape id="_x0000_i1036" type="#_x0000_t75" style="width:456.45pt;height:62.5pt" o:ole="">
            <v:imagedata r:id="rId33" o:title=""/>
          </v:shape>
          <o:OLEObject Type="Embed" ProgID="Excel.Sheet.8" ShapeID="_x0000_i1036" DrawAspect="Content" ObjectID="_1484374337" r:id="rId34"/>
        </w:object>
      </w:r>
    </w:p>
    <w:p w:rsidR="00AB4CC5" w:rsidRDefault="00AB4CC5">
      <w:pPr>
        <w:rPr>
          <w:rFonts w:ascii="Arial" w:hAnsi="Arial" w:cs="Arial"/>
          <w:b/>
          <w:sz w:val="18"/>
          <w:szCs w:val="18"/>
        </w:rPr>
      </w:pPr>
    </w:p>
    <w:p w:rsidR="00457C6B" w:rsidRDefault="00457C6B">
      <w:pPr>
        <w:rPr>
          <w:rFonts w:ascii="Arial" w:hAnsi="Arial" w:cs="Arial"/>
          <w:b/>
          <w:sz w:val="18"/>
          <w:szCs w:val="18"/>
        </w:rPr>
      </w:pPr>
    </w:p>
    <w:p w:rsidR="00457C6B" w:rsidRDefault="00457C6B">
      <w:pPr>
        <w:rPr>
          <w:rFonts w:ascii="Arial" w:hAnsi="Arial" w:cs="Arial"/>
          <w:b/>
          <w:sz w:val="18"/>
          <w:szCs w:val="18"/>
        </w:rPr>
      </w:pPr>
    </w:p>
    <w:p w:rsidR="00457C6B" w:rsidRDefault="00457C6B">
      <w:pPr>
        <w:jc w:val="center"/>
        <w:rPr>
          <w:rFonts w:ascii="Arial" w:hAnsi="Arial" w:cs="Arial"/>
          <w:b/>
          <w:sz w:val="18"/>
          <w:szCs w:val="18"/>
        </w:rPr>
      </w:pPr>
    </w:p>
    <w:p w:rsidR="00457C6B" w:rsidRDefault="0047703E">
      <w:pPr>
        <w:rPr>
          <w:rFonts w:ascii="Arial" w:hAnsi="Arial" w:cs="Arial"/>
          <w:b/>
          <w:sz w:val="18"/>
          <w:szCs w:val="18"/>
        </w:rPr>
      </w:pPr>
      <w:r>
        <w:rPr>
          <w:rFonts w:ascii="Arial" w:hAnsi="Arial" w:cs="Arial"/>
          <w:b/>
          <w:sz w:val="18"/>
          <w:szCs w:val="18"/>
        </w:rPr>
        <w:t xml:space="preserve">La differenza positiva di parte corrente per l’anno </w:t>
      </w:r>
      <w:r>
        <w:rPr>
          <w:rFonts w:ascii="Arial" w:hAnsi="Arial" w:cs="Arial"/>
          <w:b/>
          <w:sz w:val="18"/>
          <w:szCs w:val="18"/>
          <w:u w:val="single"/>
        </w:rPr>
        <w:t>2017</w:t>
      </w:r>
      <w:r>
        <w:rPr>
          <w:rFonts w:ascii="Arial" w:hAnsi="Arial" w:cs="Arial"/>
          <w:b/>
          <w:sz w:val="18"/>
          <w:szCs w:val="18"/>
        </w:rPr>
        <w:t xml:space="preserve"> da destinare al finanziamento di spese del titolo II deriva da:</w:t>
      </w:r>
    </w:p>
    <w:p w:rsidR="00CF5982" w:rsidRDefault="00CF5982">
      <w:pPr>
        <w:rPr>
          <w:rFonts w:ascii="Arial" w:hAnsi="Arial" w:cs="Arial"/>
          <w:b/>
          <w:sz w:val="18"/>
          <w:szCs w:val="18"/>
        </w:rPr>
      </w:pPr>
      <w:r w:rsidRPr="00B771D5">
        <w:rPr>
          <w:rFonts w:ascii="Arial" w:hAnsi="Arial" w:cs="Arial"/>
          <w:b/>
          <w:sz w:val="18"/>
          <w:szCs w:val="18"/>
        </w:rPr>
        <w:object w:dxaOrig="9126" w:dyaOrig="2212">
          <v:shape id="_x0000_i1037" type="#_x0000_t75" style="width:456.45pt;height:110.7pt" o:ole="">
            <v:imagedata r:id="rId35" o:title=""/>
          </v:shape>
          <o:OLEObject Type="Embed" ProgID="Excel.Sheet.8" ShapeID="_x0000_i1037" DrawAspect="Content" ObjectID="_1484374338" r:id="rId36"/>
        </w:object>
      </w:r>
    </w:p>
    <w:p w:rsidR="00AB4CC5" w:rsidRDefault="00AB4CC5">
      <w:pPr>
        <w:rPr>
          <w:rFonts w:ascii="Arial" w:hAnsi="Arial" w:cs="Arial"/>
          <w:b/>
          <w:sz w:val="18"/>
          <w:szCs w:val="18"/>
        </w:rPr>
      </w:pPr>
    </w:p>
    <w:p w:rsidR="00457C6B" w:rsidRDefault="00457C6B">
      <w:pPr>
        <w:rPr>
          <w:rFonts w:ascii="Arial" w:hAnsi="Arial" w:cs="Arial"/>
          <w:b/>
          <w:sz w:val="18"/>
          <w:szCs w:val="18"/>
        </w:rPr>
      </w:pPr>
    </w:p>
    <w:p w:rsidR="00457C6B" w:rsidRDefault="00457C6B">
      <w:pPr>
        <w:widowControl w:val="0"/>
        <w:autoSpaceDE w:val="0"/>
        <w:autoSpaceDN w:val="0"/>
        <w:adjustRightInd w:val="0"/>
        <w:spacing w:before="120"/>
        <w:jc w:val="both"/>
        <w:rPr>
          <w:rFonts w:ascii="Arial" w:hAnsi="Arial" w:cs="Arial"/>
          <w:sz w:val="22"/>
        </w:rPr>
      </w:pPr>
    </w:p>
    <w:p w:rsidR="00457C6B" w:rsidRDefault="0047703E">
      <w:pPr>
        <w:widowControl w:val="0"/>
        <w:autoSpaceDE w:val="0"/>
        <w:autoSpaceDN w:val="0"/>
        <w:adjustRightInd w:val="0"/>
        <w:spacing w:before="120"/>
        <w:jc w:val="both"/>
        <w:rPr>
          <w:rFonts w:ascii="Arial" w:hAnsi="Arial" w:cs="Arial"/>
          <w:sz w:val="22"/>
        </w:rPr>
      </w:pPr>
      <w:r>
        <w:rPr>
          <w:rFonts w:ascii="Arial" w:hAnsi="Arial" w:cs="Arial"/>
          <w:sz w:val="22"/>
        </w:rPr>
        <w:t xml:space="preserve">Relativamente agli equilibri di bilancio annuali e pluriennali l’organo di revisione osserva quanto segue:  </w:t>
      </w:r>
      <w:proofErr w:type="spellStart"/>
      <w:r>
        <w:rPr>
          <w:rFonts w:ascii="Arial" w:hAnsi="Arial" w:cs="Arial"/>
          <w:sz w:val="22"/>
        </w:rPr>
        <w:t>………………………………</w:t>
      </w:r>
      <w:proofErr w:type="spellEnd"/>
    </w:p>
    <w:p w:rsidR="00457C6B" w:rsidRDefault="00457C6B">
      <w:pPr>
        <w:rPr>
          <w:rFonts w:ascii="Arial" w:hAnsi="Arial" w:cs="Arial"/>
          <w:sz w:val="20"/>
        </w:rPr>
      </w:pPr>
    </w:p>
    <w:p w:rsidR="00457C6B" w:rsidRDefault="0047703E">
      <w:pPr>
        <w:rPr>
          <w:rFonts w:ascii="Arial" w:hAnsi="Arial" w:cs="Arial"/>
          <w:sz w:val="20"/>
        </w:rPr>
      </w:pPr>
      <w:r>
        <w:rPr>
          <w:rFonts w:ascii="Arial" w:hAnsi="Arial" w:cs="Arial"/>
          <w:sz w:val="20"/>
        </w:rPr>
        <w:br w:type="page"/>
      </w: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57C6B">
      <w:pPr>
        <w:rPr>
          <w:rFonts w:ascii="Arial" w:hAnsi="Arial" w:cs="Arial"/>
          <w:sz w:val="20"/>
        </w:rPr>
      </w:pPr>
    </w:p>
    <w:p w:rsidR="00457C6B" w:rsidRDefault="0047703E">
      <w:pPr>
        <w:pStyle w:val="Titolo1"/>
        <w:rPr>
          <w:sz w:val="32"/>
          <w:szCs w:val="32"/>
        </w:rPr>
      </w:pPr>
      <w:bookmarkStart w:id="25" w:name="_VERIFICA_COERENZA_DELLE"/>
      <w:bookmarkStart w:id="26" w:name="_Toc408988066"/>
      <w:bookmarkEnd w:id="25"/>
      <w:r>
        <w:rPr>
          <w:sz w:val="32"/>
          <w:szCs w:val="32"/>
        </w:rPr>
        <w:t>VERIFICA COERENZA DELLE PREVISIONI</w:t>
      </w:r>
      <w:bookmarkEnd w:id="26"/>
    </w:p>
    <w:p w:rsidR="00457C6B" w:rsidRDefault="00457C6B">
      <w:pPr>
        <w:spacing w:after="60"/>
        <w:rPr>
          <w:rFonts w:ascii="Arial" w:hAnsi="Arial" w:cs="Arial"/>
          <w:i/>
          <w:sz w:val="20"/>
        </w:rPr>
      </w:pPr>
    </w:p>
    <w:p w:rsidR="00457C6B" w:rsidRDefault="0047703E">
      <w:pPr>
        <w:pStyle w:val="Titolo2"/>
      </w:pPr>
      <w:r>
        <w:br w:type="page"/>
      </w:r>
      <w:bookmarkStart w:id="27" w:name="_Toc408988067"/>
      <w:r>
        <w:lastRenderedPageBreak/>
        <w:t>8. Verifica della coerenza interna</w:t>
      </w:r>
      <w:bookmarkEnd w:id="27"/>
    </w:p>
    <w:p w:rsidR="00457C6B" w:rsidRDefault="00457C6B">
      <w:pPr>
        <w:spacing w:after="60"/>
        <w:rPr>
          <w:rFonts w:ascii="Arial" w:hAnsi="Arial" w:cs="Arial"/>
          <w:b/>
          <w:sz w:val="22"/>
          <w:szCs w:val="22"/>
          <w:u w:val="single"/>
        </w:rPr>
      </w:pPr>
    </w:p>
    <w:p w:rsidR="00457C6B" w:rsidRDefault="0047703E">
      <w:pPr>
        <w:spacing w:after="60"/>
        <w:jc w:val="both"/>
        <w:rPr>
          <w:rFonts w:ascii="Arial" w:hAnsi="Arial" w:cs="Arial"/>
          <w:sz w:val="22"/>
          <w:szCs w:val="22"/>
        </w:rPr>
      </w:pPr>
      <w:r>
        <w:rPr>
          <w:rFonts w:ascii="Arial" w:hAnsi="Arial" w:cs="Arial"/>
          <w:sz w:val="22"/>
          <w:szCs w:val="22"/>
        </w:rPr>
        <w:t>L’organo di revisione ritiene che gli obiettivi indicati nella relazione previsionale e programmatica e le previsioni annuali e pluriennali siano coerenti con gli strumenti di programmazione di mandato (relazione di inizio mandato e piano generale di sviluppo) e con gli atti di programmazione di settore (piano triennale dei lavori pubblici, programmazione fabbisogno del personale, piano alienazioni e valorizzazione patrimonio immobiliare ecc.)</w:t>
      </w:r>
    </w:p>
    <w:p w:rsidR="00457C6B" w:rsidRDefault="00457C6B">
      <w:pPr>
        <w:spacing w:after="60"/>
        <w:jc w:val="both"/>
        <w:rPr>
          <w:rFonts w:ascii="Arial" w:hAnsi="Arial" w:cs="Arial"/>
          <w:sz w:val="22"/>
          <w:szCs w:val="22"/>
        </w:rPr>
      </w:pPr>
    </w:p>
    <w:p w:rsidR="00457C6B" w:rsidRDefault="0047703E">
      <w:pPr>
        <w:pBdr>
          <w:top w:val="outset" w:sz="6" w:space="1" w:color="auto"/>
          <w:left w:val="outset" w:sz="6" w:space="4" w:color="auto"/>
          <w:bottom w:val="inset" w:sz="6" w:space="1" w:color="auto"/>
          <w:right w:val="inset" w:sz="6" w:space="4" w:color="auto"/>
        </w:pBdr>
        <w:spacing w:after="60"/>
        <w:jc w:val="center"/>
        <w:rPr>
          <w:rFonts w:ascii="Arial" w:hAnsi="Arial" w:cs="Arial"/>
          <w:i/>
          <w:color w:val="0000FF"/>
          <w:sz w:val="20"/>
          <w:szCs w:val="18"/>
        </w:rPr>
      </w:pPr>
      <w:r>
        <w:rPr>
          <w:rFonts w:ascii="Arial" w:hAnsi="Arial" w:cs="Arial"/>
          <w:b/>
          <w:i/>
          <w:color w:val="0000FF"/>
          <w:sz w:val="20"/>
          <w:szCs w:val="18"/>
        </w:rPr>
        <w:t>Oppure</w:t>
      </w:r>
    </w:p>
    <w:p w:rsidR="00457C6B" w:rsidRDefault="0047703E">
      <w:pPr>
        <w:pBdr>
          <w:top w:val="outset" w:sz="6" w:space="1" w:color="auto"/>
          <w:left w:val="outset" w:sz="6" w:space="4" w:color="auto"/>
          <w:bottom w:val="inset" w:sz="6" w:space="1" w:color="auto"/>
          <w:right w:val="inset" w:sz="6" w:space="4" w:color="auto"/>
        </w:pBdr>
        <w:spacing w:after="60"/>
        <w:jc w:val="both"/>
        <w:rPr>
          <w:rFonts w:ascii="Arial" w:hAnsi="Arial" w:cs="Arial"/>
          <w:sz w:val="20"/>
          <w:szCs w:val="18"/>
        </w:rPr>
      </w:pPr>
      <w:r>
        <w:rPr>
          <w:rFonts w:ascii="Arial" w:hAnsi="Arial" w:cs="Arial"/>
          <w:i/>
          <w:sz w:val="20"/>
          <w:szCs w:val="18"/>
        </w:rPr>
        <w:t xml:space="preserve">L’organo di revisione ritenendo che gli obiettivi indicati nella relazione previsionale e programmatica e le previsioni annuali e pluriennali non siano coerenti con gli strumenti di programmazione di mandato (relazione di inizio mandato e piano generale di sviluppo) e gli atti di programmazione di settore (piano triennale dei lavori pubblici, programmazione fabbisogno del personale ecc.) nei seguenti aspetti: </w:t>
      </w:r>
      <w:proofErr w:type="spellStart"/>
      <w:r>
        <w:rPr>
          <w:rFonts w:ascii="Arial" w:hAnsi="Arial" w:cs="Arial"/>
          <w:i/>
          <w:sz w:val="20"/>
          <w:szCs w:val="18"/>
        </w:rPr>
        <w:t>………………………</w:t>
      </w:r>
      <w:r>
        <w:rPr>
          <w:rFonts w:ascii="Arial" w:hAnsi="Arial" w:cs="Arial"/>
          <w:sz w:val="20"/>
          <w:szCs w:val="18"/>
        </w:rPr>
        <w:t>……………………………………………………………</w:t>
      </w:r>
      <w:proofErr w:type="spellEnd"/>
      <w:r>
        <w:rPr>
          <w:rFonts w:ascii="Arial" w:hAnsi="Arial" w:cs="Arial"/>
          <w:sz w:val="20"/>
          <w:szCs w:val="18"/>
        </w:rPr>
        <w:t xml:space="preserve"> richiede un’esplicita e motivata modifica agli strumenti di programmazione prima o contestualmente alla deliberazione del bilancio.</w:t>
      </w:r>
    </w:p>
    <w:p w:rsidR="00457C6B" w:rsidRDefault="00457C6B">
      <w:pPr>
        <w:pBdr>
          <w:top w:val="outset" w:sz="6" w:space="1" w:color="auto"/>
          <w:left w:val="outset" w:sz="6" w:space="4" w:color="auto"/>
          <w:bottom w:val="inset" w:sz="6" w:space="1" w:color="auto"/>
          <w:right w:val="inset" w:sz="6" w:space="4" w:color="auto"/>
        </w:pBdr>
        <w:spacing w:after="60"/>
        <w:rPr>
          <w:rFonts w:ascii="Arial" w:hAnsi="Arial" w:cs="Arial"/>
          <w:i/>
          <w:sz w:val="18"/>
          <w:szCs w:val="18"/>
        </w:rPr>
      </w:pPr>
    </w:p>
    <w:p w:rsidR="00457C6B" w:rsidRDefault="00457C6B">
      <w:pPr>
        <w:spacing w:after="60"/>
        <w:rPr>
          <w:rFonts w:ascii="Arial" w:hAnsi="Arial" w:cs="Arial"/>
          <w:i/>
          <w:sz w:val="20"/>
        </w:rPr>
      </w:pPr>
    </w:p>
    <w:p w:rsidR="00457C6B" w:rsidRDefault="00457C6B">
      <w:pPr>
        <w:spacing w:after="60"/>
        <w:rPr>
          <w:rFonts w:ascii="Arial" w:hAnsi="Arial" w:cs="Arial"/>
          <w:i/>
          <w:sz w:val="20"/>
        </w:rPr>
      </w:pPr>
    </w:p>
    <w:p w:rsidR="00457C6B" w:rsidRDefault="0047703E">
      <w:pPr>
        <w:spacing w:after="60"/>
        <w:jc w:val="both"/>
        <w:rPr>
          <w:rFonts w:ascii="Arial" w:hAnsi="Arial" w:cs="Arial"/>
          <w:b/>
          <w:i/>
          <w:sz w:val="22"/>
          <w:szCs w:val="22"/>
          <w:u w:val="single"/>
        </w:rPr>
      </w:pPr>
      <w:r>
        <w:rPr>
          <w:rFonts w:ascii="Arial" w:hAnsi="Arial" w:cs="Arial"/>
          <w:b/>
          <w:i/>
          <w:sz w:val="22"/>
          <w:szCs w:val="22"/>
          <w:u w:val="single"/>
        </w:rPr>
        <w:t>8.1. Verifica adozione strumenti obbligatori di programmazione di settore e loro coerenza con le previsioni</w:t>
      </w:r>
    </w:p>
    <w:p w:rsidR="00457C6B" w:rsidRDefault="00457C6B">
      <w:pPr>
        <w:spacing w:after="60"/>
        <w:rPr>
          <w:rFonts w:ascii="Arial" w:hAnsi="Arial" w:cs="Arial"/>
          <w:b/>
          <w:sz w:val="22"/>
          <w:szCs w:val="22"/>
        </w:rPr>
      </w:pPr>
    </w:p>
    <w:p w:rsidR="00457C6B" w:rsidRDefault="0047703E">
      <w:pPr>
        <w:spacing w:after="60"/>
        <w:rPr>
          <w:rFonts w:ascii="Arial" w:hAnsi="Arial" w:cs="Arial"/>
          <w:b/>
          <w:sz w:val="22"/>
          <w:szCs w:val="22"/>
        </w:rPr>
      </w:pPr>
      <w:r>
        <w:rPr>
          <w:rFonts w:ascii="Arial" w:hAnsi="Arial" w:cs="Arial"/>
          <w:b/>
          <w:sz w:val="22"/>
          <w:szCs w:val="22"/>
        </w:rPr>
        <w:t>8.1.1. programma triennale lavori pubblici</w:t>
      </w:r>
    </w:p>
    <w:p w:rsidR="00457C6B" w:rsidRDefault="0047703E">
      <w:pPr>
        <w:rPr>
          <w:rFonts w:ascii="Arial" w:hAnsi="Arial" w:cs="Arial"/>
          <w:sz w:val="22"/>
          <w:szCs w:val="22"/>
        </w:rPr>
      </w:pPr>
      <w:r>
        <w:rPr>
          <w:rFonts w:ascii="Arial" w:hAnsi="Arial" w:cs="Arial"/>
          <w:sz w:val="22"/>
          <w:szCs w:val="22"/>
        </w:rPr>
        <w:t xml:space="preserve">Il programma triennale ed elenco annuale dei lavori pubblici </w:t>
      </w:r>
      <w:r>
        <w:rPr>
          <w:rFonts w:ascii="Arial" w:hAnsi="Arial" w:cs="Arial"/>
          <w:color w:val="0000FF"/>
          <w:sz w:val="20"/>
          <w:szCs w:val="20"/>
        </w:rPr>
        <w:t>(o il suo aggiornamento</w:t>
      </w:r>
      <w:r>
        <w:rPr>
          <w:rFonts w:ascii="Arial" w:hAnsi="Arial" w:cs="Arial"/>
          <w:i/>
          <w:color w:val="0070C0"/>
          <w:sz w:val="22"/>
          <w:szCs w:val="22"/>
        </w:rPr>
        <w:t xml:space="preserve"> </w:t>
      </w:r>
      <w:r>
        <w:rPr>
          <w:rFonts w:ascii="Arial" w:hAnsi="Arial" w:cs="Arial"/>
          <w:color w:val="0000FF"/>
          <w:sz w:val="22"/>
          <w:szCs w:val="22"/>
        </w:rPr>
        <w:t>annuale</w:t>
      </w:r>
      <w:r>
        <w:rPr>
          <w:rFonts w:ascii="Arial" w:hAnsi="Arial" w:cs="Arial"/>
          <w:sz w:val="22"/>
          <w:szCs w:val="22"/>
        </w:rPr>
        <w:t xml:space="preserve">) di cui all’art. 128 del </w:t>
      </w:r>
      <w:proofErr w:type="spellStart"/>
      <w:r>
        <w:rPr>
          <w:rFonts w:ascii="Arial" w:hAnsi="Arial" w:cs="Arial"/>
          <w:sz w:val="22"/>
          <w:szCs w:val="22"/>
        </w:rPr>
        <w:t>D.Lgs.</w:t>
      </w:r>
      <w:proofErr w:type="spellEnd"/>
      <w:r>
        <w:rPr>
          <w:rFonts w:ascii="Arial" w:hAnsi="Arial" w:cs="Arial"/>
          <w:sz w:val="22"/>
          <w:szCs w:val="22"/>
        </w:rPr>
        <w:t xml:space="preserve"> 163/2006, è stato redatto conformemente alle indicazioni e agli schemi di cui al Decreto del 24/10/2014</w:t>
      </w:r>
      <w:r>
        <w:rPr>
          <w:rFonts w:ascii="Arial" w:hAnsi="Arial" w:cs="Arial"/>
        </w:rPr>
        <w:t xml:space="preserve"> </w:t>
      </w:r>
      <w:r>
        <w:rPr>
          <w:rFonts w:ascii="Arial" w:hAnsi="Arial" w:cs="Arial"/>
          <w:sz w:val="22"/>
          <w:szCs w:val="22"/>
        </w:rPr>
        <w:t>del Ministero delle infrastrutture e dei trasporti, ed adottato dall’organo esecutivo entro il 15 ottobre dell’anno 2014.</w:t>
      </w:r>
    </w:p>
    <w:p w:rsidR="00457C6B" w:rsidRDefault="0047703E">
      <w:pPr>
        <w:jc w:val="both"/>
        <w:rPr>
          <w:rFonts w:ascii="Arial" w:hAnsi="Arial" w:cs="Arial"/>
          <w:sz w:val="22"/>
          <w:szCs w:val="22"/>
        </w:rPr>
      </w:pPr>
      <w:r>
        <w:rPr>
          <w:rFonts w:ascii="Arial" w:hAnsi="Arial" w:cs="Arial"/>
          <w:sz w:val="22"/>
          <w:szCs w:val="22"/>
        </w:rPr>
        <w:t>Trattandosi di programmazione di settore è coerente con il piano generale di sviluppo dell’ente.</w:t>
      </w:r>
    </w:p>
    <w:p w:rsidR="00457C6B" w:rsidRDefault="0047703E">
      <w:pPr>
        <w:jc w:val="both"/>
        <w:rPr>
          <w:rFonts w:ascii="Arial" w:hAnsi="Arial" w:cs="Arial"/>
          <w:sz w:val="22"/>
          <w:szCs w:val="22"/>
        </w:rPr>
      </w:pPr>
      <w:r>
        <w:rPr>
          <w:rFonts w:ascii="Arial" w:hAnsi="Arial" w:cs="Arial"/>
          <w:sz w:val="22"/>
          <w:szCs w:val="22"/>
        </w:rPr>
        <w:t xml:space="preserve">Lo schema di programma è stato pubblicato per </w:t>
      </w:r>
      <w:r>
        <w:rPr>
          <w:rFonts w:ascii="Arial" w:hAnsi="Arial" w:cs="Arial"/>
          <w:color w:val="0000FF"/>
          <w:sz w:val="20"/>
          <w:szCs w:val="20"/>
        </w:rPr>
        <w:t>(</w:t>
      </w:r>
      <w:r>
        <w:rPr>
          <w:rFonts w:ascii="Arial" w:hAnsi="Arial" w:cs="Arial"/>
          <w:i/>
          <w:color w:val="0000FF"/>
          <w:sz w:val="20"/>
          <w:szCs w:val="20"/>
        </w:rPr>
        <w:t>almeno</w:t>
      </w:r>
      <w:r>
        <w:rPr>
          <w:rFonts w:ascii="Arial" w:hAnsi="Arial" w:cs="Arial"/>
          <w:i/>
          <w:color w:val="0000FF"/>
          <w:sz w:val="22"/>
          <w:szCs w:val="22"/>
        </w:rPr>
        <w:t>)</w:t>
      </w:r>
      <w:r>
        <w:rPr>
          <w:rFonts w:ascii="Arial" w:hAnsi="Arial" w:cs="Arial"/>
          <w:i/>
          <w:sz w:val="22"/>
          <w:szCs w:val="22"/>
        </w:rPr>
        <w:t xml:space="preserve"> 60 </w:t>
      </w:r>
      <w:r>
        <w:rPr>
          <w:rFonts w:ascii="Arial" w:hAnsi="Arial" w:cs="Arial"/>
          <w:sz w:val="22"/>
          <w:szCs w:val="22"/>
        </w:rPr>
        <w:t xml:space="preserve">giorni consecutivi dal </w:t>
      </w:r>
      <w:proofErr w:type="spellStart"/>
      <w:r>
        <w:rPr>
          <w:rFonts w:ascii="Arial" w:hAnsi="Arial" w:cs="Arial"/>
          <w:sz w:val="22"/>
          <w:szCs w:val="22"/>
        </w:rPr>
        <w:t>………</w:t>
      </w:r>
      <w:proofErr w:type="spellEnd"/>
      <w:r>
        <w:rPr>
          <w:rFonts w:ascii="Arial" w:hAnsi="Arial" w:cs="Arial"/>
          <w:sz w:val="22"/>
          <w:szCs w:val="22"/>
        </w:rPr>
        <w:t>..</w:t>
      </w:r>
    </w:p>
    <w:p w:rsidR="00457C6B" w:rsidRDefault="0047703E">
      <w:pPr>
        <w:spacing w:before="120"/>
        <w:jc w:val="both"/>
        <w:rPr>
          <w:rFonts w:ascii="Arial" w:hAnsi="Arial" w:cs="Arial"/>
          <w:color w:val="0000FF"/>
          <w:sz w:val="20"/>
          <w:szCs w:val="20"/>
        </w:rPr>
      </w:pPr>
      <w:r>
        <w:rPr>
          <w:rFonts w:ascii="Arial" w:hAnsi="Arial" w:cs="Arial"/>
          <w:color w:val="0000FF"/>
          <w:sz w:val="20"/>
          <w:szCs w:val="20"/>
        </w:rPr>
        <w:t xml:space="preserve">(Eventuali aggiornamenti dello schema di programma entro il termine di approvazione del bilancio non necessitano di ulteriore pubblicazione.) </w:t>
      </w:r>
    </w:p>
    <w:p w:rsidR="00457C6B" w:rsidRDefault="0047703E">
      <w:pPr>
        <w:rPr>
          <w:rFonts w:ascii="Arial" w:hAnsi="Arial" w:cs="Arial"/>
          <w:sz w:val="22"/>
          <w:szCs w:val="22"/>
        </w:rPr>
      </w:pPr>
      <w:r>
        <w:rPr>
          <w:rFonts w:ascii="Arial" w:hAnsi="Arial" w:cs="Arial"/>
          <w:sz w:val="22"/>
          <w:szCs w:val="22"/>
        </w:rPr>
        <w:t>Nella scheda 3 elenco annuale sono indicate il trimestre anno di inizio lavori e quello di fine lavori.</w:t>
      </w:r>
    </w:p>
    <w:p w:rsidR="00457C6B" w:rsidRDefault="00457C6B">
      <w:pPr>
        <w:jc w:val="both"/>
        <w:rPr>
          <w:rFonts w:ascii="Arial" w:hAnsi="Arial" w:cs="Arial"/>
          <w:sz w:val="20"/>
        </w:rPr>
      </w:pPr>
    </w:p>
    <w:p w:rsidR="00457C6B" w:rsidRDefault="0047703E">
      <w:pPr>
        <w:jc w:val="both"/>
        <w:rPr>
          <w:rFonts w:ascii="Arial" w:hAnsi="Arial" w:cs="Arial"/>
          <w:sz w:val="22"/>
          <w:szCs w:val="22"/>
        </w:rPr>
      </w:pPr>
      <w:r>
        <w:rPr>
          <w:rFonts w:ascii="Arial" w:hAnsi="Arial" w:cs="Arial"/>
          <w:sz w:val="22"/>
          <w:szCs w:val="22"/>
        </w:rPr>
        <w:t>Nello stesso sono indicati:</w:t>
      </w:r>
    </w:p>
    <w:p w:rsidR="00457C6B" w:rsidRDefault="0047703E">
      <w:pPr>
        <w:numPr>
          <w:ilvl w:val="0"/>
          <w:numId w:val="7"/>
        </w:numPr>
        <w:spacing w:before="120"/>
        <w:ind w:left="357" w:hanging="357"/>
        <w:jc w:val="both"/>
        <w:rPr>
          <w:rFonts w:ascii="Arial" w:hAnsi="Arial" w:cs="Arial"/>
          <w:sz w:val="22"/>
          <w:szCs w:val="22"/>
        </w:rPr>
      </w:pPr>
      <w:r>
        <w:rPr>
          <w:rFonts w:ascii="Arial" w:hAnsi="Arial" w:cs="Arial"/>
          <w:sz w:val="22"/>
          <w:szCs w:val="22"/>
        </w:rPr>
        <w:t>i lavori di singolo importo superiore a 100.000 euro;</w:t>
      </w:r>
    </w:p>
    <w:p w:rsidR="00457C6B" w:rsidRDefault="0047703E">
      <w:pPr>
        <w:numPr>
          <w:ilvl w:val="0"/>
          <w:numId w:val="7"/>
        </w:numPr>
        <w:spacing w:before="120"/>
        <w:ind w:left="357" w:hanging="357"/>
        <w:jc w:val="both"/>
        <w:rPr>
          <w:rFonts w:ascii="Arial" w:hAnsi="Arial" w:cs="Arial"/>
          <w:sz w:val="20"/>
          <w:szCs w:val="20"/>
        </w:rPr>
      </w:pPr>
      <w:r>
        <w:rPr>
          <w:rFonts w:ascii="Arial" w:hAnsi="Arial" w:cs="Arial"/>
          <w:sz w:val="22"/>
          <w:szCs w:val="22"/>
        </w:rPr>
        <w:t xml:space="preserve">le priorità e le azioni da intraprendere come richiesto dall’art. 128 del </w:t>
      </w:r>
      <w:proofErr w:type="spellStart"/>
      <w:r>
        <w:rPr>
          <w:rFonts w:ascii="Arial" w:hAnsi="Arial" w:cs="Arial"/>
          <w:sz w:val="22"/>
          <w:szCs w:val="22"/>
        </w:rPr>
        <w:t>D.Lgs.</w:t>
      </w:r>
      <w:proofErr w:type="spellEnd"/>
      <w:r>
        <w:rPr>
          <w:rFonts w:ascii="Arial" w:hAnsi="Arial" w:cs="Arial"/>
          <w:sz w:val="22"/>
          <w:szCs w:val="22"/>
        </w:rPr>
        <w:t xml:space="preserve"> 163/2006, considerando comunque prioritari i lavori di manutenzione, recupero patrimonio, completamento lavori, progetti esecutivi approvati, interventi con possibilità di finanziamento privato maggioritario;</w:t>
      </w:r>
    </w:p>
    <w:p w:rsidR="00457C6B" w:rsidRDefault="0047703E">
      <w:pPr>
        <w:numPr>
          <w:ilvl w:val="0"/>
          <w:numId w:val="7"/>
        </w:numPr>
        <w:spacing w:before="120"/>
        <w:ind w:left="357" w:hanging="357"/>
        <w:jc w:val="both"/>
        <w:rPr>
          <w:rFonts w:ascii="Arial" w:hAnsi="Arial" w:cs="Arial"/>
          <w:sz w:val="20"/>
          <w:szCs w:val="20"/>
        </w:rPr>
      </w:pPr>
      <w:r>
        <w:rPr>
          <w:rFonts w:ascii="Arial" w:hAnsi="Arial" w:cs="Arial"/>
          <w:sz w:val="22"/>
          <w:szCs w:val="22"/>
        </w:rPr>
        <w:t xml:space="preserve"> la stima, nell’elenco annuale, dei tempi di esecuzione </w:t>
      </w:r>
      <w:r>
        <w:rPr>
          <w:rFonts w:ascii="Arial" w:hAnsi="Arial" w:cs="Arial"/>
          <w:color w:val="4F81BD"/>
          <w:sz w:val="20"/>
          <w:szCs w:val="20"/>
        </w:rPr>
        <w:t>(trimestre/anno di inizio e fine lavori);</w:t>
      </w:r>
    </w:p>
    <w:p w:rsidR="00457C6B" w:rsidRDefault="0047703E">
      <w:pPr>
        <w:spacing w:before="120"/>
        <w:jc w:val="both"/>
        <w:rPr>
          <w:rFonts w:ascii="Arial" w:hAnsi="Arial" w:cs="Arial"/>
          <w:color w:val="4F81BD"/>
          <w:sz w:val="22"/>
          <w:szCs w:val="22"/>
        </w:rPr>
      </w:pPr>
      <w:r>
        <w:rPr>
          <w:rFonts w:ascii="Arial" w:hAnsi="Arial" w:cs="Arial"/>
          <w:sz w:val="22"/>
          <w:szCs w:val="22"/>
        </w:rPr>
        <w:t>Per gli interventi contenuti nell’elenco annuale d’importo superiore a 1.000.000 di euro, ad eccezione degli interventi</w:t>
      </w:r>
      <w:r>
        <w:rPr>
          <w:rFonts w:ascii="Arial" w:hAnsi="Arial" w:cs="Arial"/>
          <w:i/>
          <w:sz w:val="22"/>
          <w:szCs w:val="22"/>
        </w:rPr>
        <w:t xml:space="preserve"> </w:t>
      </w:r>
      <w:r>
        <w:rPr>
          <w:rFonts w:ascii="Arial" w:hAnsi="Arial" w:cs="Arial"/>
          <w:sz w:val="22"/>
          <w:szCs w:val="22"/>
        </w:rPr>
        <w:t xml:space="preserve">di manutenzione, la giunta ha provveduto all’approvazione dei progetti preliminari e per quelli di importo inferiore ha approvato uno studio di fattibilità.  Lo studio di fattibilità è stato altresì approvato per i lavori di cui all'art.153 del </w:t>
      </w:r>
      <w:proofErr w:type="spellStart"/>
      <w:r>
        <w:rPr>
          <w:rFonts w:ascii="Arial" w:hAnsi="Arial" w:cs="Arial"/>
          <w:sz w:val="22"/>
          <w:szCs w:val="22"/>
        </w:rPr>
        <w:t>D.Lgs.</w:t>
      </w:r>
      <w:proofErr w:type="spellEnd"/>
      <w:r>
        <w:rPr>
          <w:rFonts w:ascii="Arial" w:hAnsi="Arial" w:cs="Arial"/>
          <w:sz w:val="22"/>
          <w:szCs w:val="22"/>
        </w:rPr>
        <w:t xml:space="preserve"> 163/2006 </w:t>
      </w:r>
      <w:r>
        <w:rPr>
          <w:rFonts w:ascii="Arial" w:hAnsi="Arial" w:cs="Arial"/>
          <w:color w:val="0000FF"/>
          <w:sz w:val="20"/>
          <w:szCs w:val="20"/>
        </w:rPr>
        <w:t>(finanza di progetto</w:t>
      </w:r>
      <w:r>
        <w:rPr>
          <w:rFonts w:ascii="Arial" w:hAnsi="Arial" w:cs="Arial"/>
          <w:color w:val="0000FF"/>
          <w:sz w:val="22"/>
          <w:szCs w:val="22"/>
        </w:rPr>
        <w:t>)</w:t>
      </w:r>
      <w:r>
        <w:rPr>
          <w:rFonts w:ascii="Arial" w:hAnsi="Arial" w:cs="Arial"/>
          <w:color w:val="4F81BD"/>
          <w:sz w:val="22"/>
          <w:szCs w:val="22"/>
        </w:rPr>
        <w:t xml:space="preserve">. </w:t>
      </w:r>
    </w:p>
    <w:p w:rsidR="00457C6B" w:rsidRDefault="0047703E">
      <w:pPr>
        <w:spacing w:before="120"/>
        <w:jc w:val="both"/>
        <w:rPr>
          <w:rFonts w:ascii="Arial" w:hAnsi="Arial" w:cs="Arial"/>
          <w:sz w:val="22"/>
          <w:szCs w:val="22"/>
        </w:rPr>
      </w:pPr>
      <w:r>
        <w:rPr>
          <w:rFonts w:ascii="Arial" w:hAnsi="Arial" w:cs="Arial"/>
          <w:sz w:val="22"/>
          <w:szCs w:val="22"/>
        </w:rPr>
        <w:t>Per i lavori inclusi nell’elenco annuale è stata perfezionata la conformità urbanistica ed ambientale.</w:t>
      </w:r>
    </w:p>
    <w:p w:rsidR="00457C6B" w:rsidRDefault="00457C6B">
      <w:pPr>
        <w:jc w:val="both"/>
        <w:rPr>
          <w:rFonts w:ascii="Arial" w:hAnsi="Arial" w:cs="Arial"/>
          <w:i/>
          <w:sz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0"/>
          <w:szCs w:val="18"/>
        </w:rPr>
      </w:pPr>
      <w:r>
        <w:rPr>
          <w:rFonts w:ascii="Arial" w:hAnsi="Arial" w:cs="Arial"/>
          <w:color w:val="0000FF"/>
          <w:sz w:val="20"/>
          <w:szCs w:val="18"/>
        </w:rPr>
        <w:t>oppure: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color w:val="0000FF"/>
          <w:sz w:val="20"/>
          <w:szCs w:val="18"/>
        </w:rPr>
      </w:pPr>
      <w:r>
        <w:rPr>
          <w:rFonts w:ascii="Arial" w:hAnsi="Arial" w:cs="Arial"/>
          <w:sz w:val="20"/>
          <w:szCs w:val="18"/>
        </w:rPr>
        <w:t>La Giunta intende provvedere all’approvazione dei progetti preliminari e degli studi di fattibilità ed a perfezionare la conformità urbanistica ed ambientale, entro la data d’approvazione del bilancio di previsione 2015</w:t>
      </w:r>
      <w:r>
        <w:rPr>
          <w:rFonts w:ascii="Arial" w:hAnsi="Arial" w:cs="Arial"/>
          <w:color w:val="0000FF"/>
          <w:sz w:val="20"/>
          <w:szCs w:val="18"/>
        </w:rPr>
        <w:t>.</w:t>
      </w:r>
    </w:p>
    <w:p w:rsidR="00457C6B" w:rsidRDefault="00457C6B">
      <w:pPr>
        <w:jc w:val="both"/>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 xml:space="preserve">Nel programma sono inserite le opere da realizzare da terzi con scomputo di oneri di urbanizzazione, mediante project </w:t>
      </w:r>
      <w:proofErr w:type="spellStart"/>
      <w:r>
        <w:rPr>
          <w:rFonts w:ascii="Arial" w:hAnsi="Arial" w:cs="Arial"/>
          <w:sz w:val="22"/>
          <w:szCs w:val="22"/>
        </w:rPr>
        <w:t>financing</w:t>
      </w:r>
      <w:proofErr w:type="spellEnd"/>
      <w:r>
        <w:rPr>
          <w:rFonts w:ascii="Arial" w:hAnsi="Arial" w:cs="Arial"/>
          <w:sz w:val="22"/>
          <w:szCs w:val="22"/>
        </w:rPr>
        <w:t xml:space="preserve"> e locazione finanziaria.</w:t>
      </w:r>
    </w:p>
    <w:p w:rsidR="00457C6B" w:rsidRDefault="0047703E">
      <w:pPr>
        <w:spacing w:before="120"/>
        <w:jc w:val="both"/>
        <w:rPr>
          <w:rFonts w:ascii="Arial" w:hAnsi="Arial" w:cs="Arial"/>
          <w:sz w:val="22"/>
          <w:szCs w:val="22"/>
        </w:rPr>
      </w:pPr>
      <w:r>
        <w:rPr>
          <w:rFonts w:ascii="Arial" w:hAnsi="Arial" w:cs="Arial"/>
          <w:sz w:val="22"/>
          <w:szCs w:val="22"/>
        </w:rPr>
        <w:t>Gli importi inclusi nello schema relativi ad interventi con onere a carico dell’ente trovano riferimento nel bilancio di previsione annuale e pluriennale.</w:t>
      </w:r>
    </w:p>
    <w:p w:rsidR="00457C6B" w:rsidRDefault="00457C6B">
      <w:pPr>
        <w:spacing w:line="80" w:lineRule="exact"/>
        <w:jc w:val="both"/>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 xml:space="preserve">I corrispettivi da trasferimento d’immobili di cui all’art. 53, comma 6 </w:t>
      </w:r>
      <w:proofErr w:type="spellStart"/>
      <w:r>
        <w:rPr>
          <w:rFonts w:ascii="Arial" w:hAnsi="Arial" w:cs="Arial"/>
          <w:sz w:val="22"/>
          <w:szCs w:val="22"/>
        </w:rPr>
        <w:t>D.Lgs.</w:t>
      </w:r>
      <w:proofErr w:type="spellEnd"/>
      <w:r>
        <w:rPr>
          <w:rFonts w:ascii="Arial" w:hAnsi="Arial" w:cs="Arial"/>
          <w:sz w:val="22"/>
          <w:szCs w:val="22"/>
        </w:rPr>
        <w:t xml:space="preserve"> 163/2006, previsti nelle schede n. 1 e 2b del programma, trovano riferimento nella relazione previsionale e programmatica.</w:t>
      </w:r>
    </w:p>
    <w:p w:rsidR="00457C6B" w:rsidRDefault="0047703E">
      <w:pPr>
        <w:spacing w:before="120"/>
        <w:jc w:val="both"/>
        <w:rPr>
          <w:rFonts w:ascii="Arial" w:hAnsi="Arial" w:cs="Arial"/>
          <w:sz w:val="22"/>
          <w:szCs w:val="22"/>
        </w:rPr>
      </w:pPr>
      <w:r>
        <w:rPr>
          <w:rFonts w:ascii="Arial" w:hAnsi="Arial" w:cs="Arial"/>
          <w:sz w:val="22"/>
          <w:szCs w:val="22"/>
        </w:rPr>
        <w:t>Il programma, dopo la sua approvazione consiliare, dovrà essere trasmesso all’Osservatorio dei lavori pubblici.</w:t>
      </w:r>
    </w:p>
    <w:p w:rsidR="00457C6B" w:rsidRDefault="0047703E">
      <w:pPr>
        <w:pStyle w:val="tabella"/>
      </w:pPr>
      <w:r>
        <w:br w:type="page"/>
      </w:r>
    </w:p>
    <w:p w:rsidR="00457C6B" w:rsidRDefault="00457C6B">
      <w:pPr>
        <w:rPr>
          <w:rFonts w:ascii="Arial" w:hAnsi="Arial" w:cs="Arial"/>
          <w:b/>
          <w:sz w:val="20"/>
        </w:rPr>
      </w:pPr>
    </w:p>
    <w:p w:rsidR="00457C6B" w:rsidRDefault="0047703E">
      <w:pPr>
        <w:pStyle w:val="Sottotitolo"/>
        <w:jc w:val="left"/>
        <w:rPr>
          <w:rFonts w:ascii="Arial" w:hAnsi="Arial" w:cs="Arial"/>
        </w:rPr>
      </w:pPr>
      <w:r>
        <w:rPr>
          <w:rFonts w:ascii="Arial" w:hAnsi="Arial" w:cs="Arial"/>
        </w:rPr>
        <w:t>8.1.2. programmazione del fabbisogno del personale</w:t>
      </w:r>
    </w:p>
    <w:p w:rsidR="00457C6B" w:rsidRDefault="00457C6B">
      <w:pPr>
        <w:rPr>
          <w:rFonts w:ascii="Arial" w:hAnsi="Arial" w:cs="Arial"/>
          <w:b/>
          <w:sz w:val="20"/>
        </w:rPr>
      </w:pPr>
    </w:p>
    <w:p w:rsidR="00457C6B" w:rsidRDefault="0047703E">
      <w:pPr>
        <w:pStyle w:val="tabella"/>
        <w:rPr>
          <w:i w:val="0"/>
          <w:sz w:val="22"/>
          <w:u w:val="none"/>
        </w:rPr>
      </w:pPr>
      <w:r>
        <w:rPr>
          <w:i w:val="0"/>
          <w:sz w:val="22"/>
          <w:u w:val="none"/>
        </w:rPr>
        <w:t xml:space="preserve">La programmazione del fabbisogno di personale prevista dall’art.39, comma 1 della Legge 449/1997 e dall’art.6 del </w:t>
      </w:r>
      <w:proofErr w:type="spellStart"/>
      <w:r>
        <w:rPr>
          <w:i w:val="0"/>
          <w:sz w:val="22"/>
          <w:u w:val="none"/>
        </w:rPr>
        <w:t>D.Lgs.</w:t>
      </w:r>
      <w:proofErr w:type="spellEnd"/>
      <w:r>
        <w:rPr>
          <w:i w:val="0"/>
          <w:sz w:val="22"/>
          <w:u w:val="none"/>
        </w:rPr>
        <w:t xml:space="preserve"> 165/2001 è stata approvata con specifico atto </w:t>
      </w:r>
      <w:proofErr w:type="spellStart"/>
      <w:r>
        <w:rPr>
          <w:i w:val="0"/>
          <w:sz w:val="22"/>
          <w:u w:val="none"/>
        </w:rPr>
        <w:t>n…</w:t>
      </w:r>
      <w:proofErr w:type="spellEnd"/>
      <w:r>
        <w:rPr>
          <w:i w:val="0"/>
          <w:sz w:val="22"/>
          <w:u w:val="none"/>
        </w:rPr>
        <w:t xml:space="preserve">. del </w:t>
      </w:r>
      <w:proofErr w:type="spellStart"/>
      <w:r>
        <w:rPr>
          <w:i w:val="0"/>
          <w:sz w:val="22"/>
          <w:u w:val="none"/>
        </w:rPr>
        <w:t>…………</w:t>
      </w:r>
      <w:proofErr w:type="spellEnd"/>
      <w:r>
        <w:rPr>
          <w:i w:val="0"/>
          <w:sz w:val="22"/>
          <w:u w:val="none"/>
        </w:rPr>
        <w:t xml:space="preserve">. ed è allegata alla relazione previsionale e programmatica. Su tale atto l’organo di revisione ha formulato il parere </w:t>
      </w:r>
      <w:proofErr w:type="spellStart"/>
      <w:r>
        <w:rPr>
          <w:i w:val="0"/>
          <w:sz w:val="22"/>
          <w:u w:val="none"/>
        </w:rPr>
        <w:t>n…</w:t>
      </w:r>
      <w:proofErr w:type="spellEnd"/>
      <w:r>
        <w:rPr>
          <w:i w:val="0"/>
          <w:sz w:val="22"/>
          <w:u w:val="none"/>
        </w:rPr>
        <w:t>. in data …. ai sensi dell’art.19 della Legge 448/2001.</w:t>
      </w:r>
    </w:p>
    <w:p w:rsidR="00457C6B" w:rsidRDefault="0047703E">
      <w:pPr>
        <w:pStyle w:val="Titolo2"/>
      </w:pPr>
      <w:bookmarkStart w:id="28" w:name="_Toc408988068"/>
      <w:r>
        <w:t>9.  Verifica della coerenza esterna</w:t>
      </w:r>
      <w:bookmarkEnd w:id="28"/>
    </w:p>
    <w:p w:rsidR="00457C6B" w:rsidRDefault="00457C6B"/>
    <w:p w:rsidR="00457C6B" w:rsidRDefault="0047703E">
      <w:pPr>
        <w:pStyle w:val="Sottotitolo"/>
        <w:rPr>
          <w:rFonts w:ascii="Arial" w:hAnsi="Arial" w:cs="Arial"/>
        </w:rPr>
      </w:pPr>
      <w:r>
        <w:rPr>
          <w:rFonts w:ascii="Arial" w:hAnsi="Arial" w:cs="Arial"/>
        </w:rPr>
        <w:t>9.1. Principi fondamentali di coordinamento della finanza pubblica: Patto di stabilità</w:t>
      </w:r>
    </w:p>
    <w:p w:rsidR="00457C6B" w:rsidRDefault="0047703E">
      <w:pPr>
        <w:jc w:val="both"/>
        <w:rPr>
          <w:rFonts w:ascii="Arial" w:hAnsi="Arial" w:cs="Arial"/>
          <w:sz w:val="22"/>
          <w:szCs w:val="22"/>
        </w:rPr>
      </w:pPr>
      <w:r>
        <w:rPr>
          <w:rFonts w:ascii="Arial" w:hAnsi="Arial" w:cs="Arial"/>
          <w:sz w:val="22"/>
          <w:szCs w:val="22"/>
        </w:rPr>
        <w:t>Come disposto dall’art.31, comma 18, della Legge 183/2011, gli enti sottoposti al patto di stabilità (</w:t>
      </w:r>
      <w:r>
        <w:rPr>
          <w:rFonts w:ascii="Arial" w:hAnsi="Arial" w:cs="Arial"/>
          <w:i/>
          <w:sz w:val="22"/>
          <w:szCs w:val="22"/>
        </w:rPr>
        <w:t>province e comuni con popolazione superiore a 1.000 abitanti; dal 2015 sono soggetti al patto di stabilità i comuni con meno di 1.000 abitanti che si aggregheranno nelle unioni</w:t>
      </w:r>
      <w:r>
        <w:rPr>
          <w:rFonts w:ascii="Arial" w:hAnsi="Arial" w:cs="Arial"/>
          <w:sz w:val="22"/>
          <w:szCs w:val="22"/>
        </w:rPr>
        <w:t xml:space="preserve">) devono iscrivere in bilancio le entrate e le spese correnti in termini di competenza in misura tale che, unitamente alle previsioni dei flussi di cassa di entrate e spese in conto capitale, al netto della riscossione e concessione di crediti </w:t>
      </w:r>
      <w:r>
        <w:rPr>
          <w:rFonts w:ascii="Arial" w:hAnsi="Arial" w:cs="Arial"/>
          <w:color w:val="0000FF"/>
          <w:sz w:val="20"/>
          <w:szCs w:val="20"/>
        </w:rPr>
        <w:t>(titolo IV delle entrate e titolo II delle uscite</w:t>
      </w:r>
      <w:r>
        <w:rPr>
          <w:rFonts w:ascii="Arial" w:hAnsi="Arial" w:cs="Arial"/>
          <w:sz w:val="22"/>
          <w:szCs w:val="22"/>
        </w:rPr>
        <w:t>), consenta il raggiungimento dell’obiettivo programmatico del patto per gli anni 2015-2016 e 2017. Pertanto la previsione di bilancio annuale e pluriennale e le successive variazioni devono garantire il rispetto del saldo obiettivo.</w:t>
      </w:r>
    </w:p>
    <w:p w:rsidR="00457C6B" w:rsidRDefault="00457C6B">
      <w:pPr>
        <w:jc w:val="both"/>
        <w:rPr>
          <w:rFonts w:ascii="Arial" w:hAnsi="Arial" w:cs="Arial"/>
          <w:sz w:val="22"/>
          <w:szCs w:val="22"/>
        </w:rPr>
      </w:pPr>
    </w:p>
    <w:p w:rsidR="00457C6B" w:rsidRDefault="0047703E">
      <w:pPr>
        <w:spacing w:before="120" w:after="60"/>
        <w:jc w:val="both"/>
        <w:rPr>
          <w:rFonts w:ascii="Arial" w:hAnsi="Arial" w:cs="Arial"/>
          <w:sz w:val="22"/>
          <w:szCs w:val="22"/>
        </w:rPr>
      </w:pPr>
      <w:r>
        <w:rPr>
          <w:rFonts w:ascii="Arial" w:hAnsi="Arial" w:cs="Arial"/>
          <w:sz w:val="22"/>
          <w:szCs w:val="22"/>
        </w:rPr>
        <w:t>Dalla verifica della coerenza delle previsioni annuali e pluriennali con il patto di stabilità interno risulta:</w:t>
      </w:r>
    </w:p>
    <w:p w:rsidR="00457C6B" w:rsidRDefault="0047703E">
      <w:pPr>
        <w:numPr>
          <w:ilvl w:val="1"/>
          <w:numId w:val="11"/>
        </w:numPr>
        <w:spacing w:before="120" w:after="60"/>
        <w:jc w:val="both"/>
        <w:rPr>
          <w:rFonts w:ascii="Arial" w:hAnsi="Arial" w:cs="Arial"/>
          <w:sz w:val="22"/>
        </w:rPr>
      </w:pPr>
      <w:r>
        <w:rPr>
          <w:rFonts w:ascii="Arial" w:hAnsi="Arial" w:cs="Arial"/>
          <w:sz w:val="22"/>
        </w:rPr>
        <w:t>spesa corrente media 2010/2012</w:t>
      </w:r>
    </w:p>
    <w:p w:rsidR="00CF5982" w:rsidRDefault="00CF5982" w:rsidP="00CF5982">
      <w:pPr>
        <w:spacing w:before="120" w:after="60"/>
        <w:jc w:val="both"/>
        <w:rPr>
          <w:rFonts w:ascii="Arial" w:hAnsi="Arial" w:cs="Arial"/>
          <w:sz w:val="22"/>
        </w:rPr>
      </w:pPr>
      <w:r w:rsidRPr="00B771D5">
        <w:rPr>
          <w:rFonts w:ascii="Arial" w:hAnsi="Arial" w:cs="Arial"/>
          <w:sz w:val="22"/>
        </w:rPr>
        <w:object w:dxaOrig="4163" w:dyaOrig="1065">
          <v:shape id="_x0000_i1038" type="#_x0000_t75" style="width:207.85pt;height:53pt" o:ole="">
            <v:imagedata r:id="rId37" o:title=""/>
          </v:shape>
          <o:OLEObject Type="Embed" ProgID="Excel.Sheet.8" ShapeID="_x0000_i1038" DrawAspect="Content" ObjectID="_1484374339" r:id="rId38"/>
        </w:object>
      </w:r>
    </w:p>
    <w:p w:rsidR="0028428B" w:rsidRDefault="0028428B" w:rsidP="0028428B">
      <w:pPr>
        <w:spacing w:before="120" w:after="60"/>
        <w:jc w:val="both"/>
        <w:rPr>
          <w:rFonts w:ascii="Arial" w:hAnsi="Arial" w:cs="Arial"/>
          <w:sz w:val="22"/>
        </w:rPr>
      </w:pPr>
    </w:p>
    <w:p w:rsidR="00457C6B" w:rsidRPr="00CF5982" w:rsidRDefault="0047703E">
      <w:pPr>
        <w:numPr>
          <w:ilvl w:val="1"/>
          <w:numId w:val="11"/>
        </w:numPr>
        <w:spacing w:before="120" w:after="60"/>
        <w:jc w:val="both"/>
        <w:rPr>
          <w:rFonts w:ascii="Arial" w:hAnsi="Arial" w:cs="Arial"/>
          <w:color w:val="0000FF"/>
          <w:sz w:val="22"/>
        </w:rPr>
      </w:pPr>
      <w:r>
        <w:rPr>
          <w:rFonts w:ascii="Arial" w:hAnsi="Arial" w:cs="Arial"/>
          <w:sz w:val="22"/>
        </w:rPr>
        <w:t xml:space="preserve">saldo obiettivo con applicazione comma 6 art.31 </w:t>
      </w:r>
    </w:p>
    <w:p w:rsidR="00CF5982" w:rsidRPr="0028428B" w:rsidRDefault="00CF5982" w:rsidP="00CF5982">
      <w:pPr>
        <w:spacing w:before="120" w:after="60"/>
        <w:jc w:val="both"/>
        <w:rPr>
          <w:rFonts w:ascii="Arial" w:hAnsi="Arial" w:cs="Arial"/>
          <w:color w:val="0000FF"/>
          <w:sz w:val="22"/>
        </w:rPr>
      </w:pPr>
      <w:r w:rsidRPr="00B771D5">
        <w:rPr>
          <w:rFonts w:ascii="Arial" w:hAnsi="Arial" w:cs="Arial"/>
          <w:sz w:val="22"/>
        </w:rPr>
        <w:object w:dxaOrig="5916" w:dyaOrig="1573">
          <v:shape id="_x0000_i1039" type="#_x0000_t75" style="width:295.45pt;height:78.8pt" o:ole="">
            <v:imagedata r:id="rId39" o:title=""/>
          </v:shape>
          <o:OLEObject Type="Embed" ProgID="Excel.Sheet.8" ShapeID="_x0000_i1039" DrawAspect="Content" ObjectID="_1484374340" r:id="rId40"/>
        </w:object>
      </w:r>
    </w:p>
    <w:p w:rsidR="00457C6B" w:rsidRDefault="00457C6B">
      <w:pPr>
        <w:spacing w:before="120" w:after="60"/>
        <w:jc w:val="both"/>
        <w:rPr>
          <w:rFonts w:ascii="Arial" w:hAnsi="Arial" w:cs="Arial"/>
          <w:sz w:val="22"/>
        </w:rPr>
      </w:pPr>
    </w:p>
    <w:p w:rsidR="00457C6B" w:rsidRDefault="0047703E">
      <w:pPr>
        <w:numPr>
          <w:ilvl w:val="1"/>
          <w:numId w:val="11"/>
        </w:numPr>
        <w:spacing w:before="120" w:after="60"/>
        <w:jc w:val="both"/>
        <w:rPr>
          <w:rFonts w:ascii="Arial" w:hAnsi="Arial" w:cs="Arial"/>
          <w:sz w:val="22"/>
        </w:rPr>
      </w:pPr>
      <w:r>
        <w:rPr>
          <w:rFonts w:ascii="Arial" w:hAnsi="Arial" w:cs="Arial"/>
          <w:sz w:val="22"/>
        </w:rPr>
        <w:t>saldo obiettivo con neutralizzazione riduzione trasferimenti e pagamenti non considerati</w:t>
      </w:r>
    </w:p>
    <w:p w:rsidR="00B31F1F" w:rsidRDefault="00B31F1F" w:rsidP="00B31F1F">
      <w:pPr>
        <w:spacing w:before="120" w:after="60"/>
        <w:jc w:val="both"/>
        <w:rPr>
          <w:rFonts w:ascii="Arial" w:hAnsi="Arial" w:cs="Arial"/>
          <w:sz w:val="22"/>
        </w:rPr>
      </w:pPr>
      <w:r w:rsidRPr="00B771D5">
        <w:rPr>
          <w:rFonts w:ascii="Arial" w:hAnsi="Arial" w:cs="Arial"/>
          <w:sz w:val="22"/>
        </w:rPr>
        <w:object w:dxaOrig="5825" w:dyaOrig="1325">
          <v:shape id="_x0000_i1040" type="#_x0000_t75" style="width:291.4pt;height:66.55pt" o:ole="">
            <v:imagedata r:id="rId41" o:title=""/>
          </v:shape>
          <o:OLEObject Type="Embed" ProgID="Excel.Sheet.8" ShapeID="_x0000_i1040" DrawAspect="Content" ObjectID="_1484374341" r:id="rId42"/>
        </w:object>
      </w:r>
    </w:p>
    <w:p w:rsidR="00457C6B" w:rsidRDefault="0047703E">
      <w:pPr>
        <w:spacing w:before="120" w:after="6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
    <w:p w:rsidR="00457C6B" w:rsidRDefault="0047703E">
      <w:pPr>
        <w:numPr>
          <w:ilvl w:val="1"/>
          <w:numId w:val="11"/>
        </w:numPr>
        <w:spacing w:before="120" w:after="60"/>
        <w:jc w:val="both"/>
        <w:rPr>
          <w:rFonts w:ascii="Arial" w:hAnsi="Arial" w:cs="Arial"/>
          <w:sz w:val="22"/>
        </w:rPr>
      </w:pPr>
      <w:r>
        <w:rPr>
          <w:rFonts w:ascii="Arial" w:hAnsi="Arial" w:cs="Arial"/>
          <w:sz w:val="22"/>
        </w:rPr>
        <w:t>obiettivo per gli anni 2015/2017</w:t>
      </w:r>
    </w:p>
    <w:p w:rsidR="00B31F1F" w:rsidRDefault="00B31F1F" w:rsidP="00B31F1F">
      <w:pPr>
        <w:spacing w:before="120" w:after="60"/>
        <w:jc w:val="both"/>
        <w:rPr>
          <w:rFonts w:ascii="Arial" w:hAnsi="Arial" w:cs="Arial"/>
          <w:sz w:val="22"/>
        </w:rPr>
      </w:pPr>
    </w:p>
    <w:p w:rsidR="00B31F1F" w:rsidRDefault="00B31F1F" w:rsidP="00B31F1F">
      <w:pPr>
        <w:spacing w:before="120" w:after="60"/>
        <w:jc w:val="both"/>
        <w:rPr>
          <w:rFonts w:ascii="Arial" w:hAnsi="Arial" w:cs="Arial"/>
          <w:sz w:val="22"/>
        </w:rPr>
      </w:pPr>
    </w:p>
    <w:p w:rsidR="00B31F1F" w:rsidRDefault="00B31F1F" w:rsidP="00B31F1F">
      <w:pPr>
        <w:spacing w:before="120" w:after="60"/>
        <w:jc w:val="both"/>
        <w:rPr>
          <w:rFonts w:ascii="Arial" w:hAnsi="Arial" w:cs="Arial"/>
          <w:sz w:val="22"/>
        </w:rPr>
      </w:pPr>
    </w:p>
    <w:p w:rsidR="00B31F1F" w:rsidRDefault="00B31F1F" w:rsidP="00B31F1F">
      <w:pPr>
        <w:spacing w:before="120" w:after="60"/>
        <w:jc w:val="both"/>
        <w:rPr>
          <w:rFonts w:ascii="Arial" w:hAnsi="Arial" w:cs="Arial"/>
          <w:sz w:val="22"/>
        </w:rPr>
      </w:pPr>
    </w:p>
    <w:p w:rsidR="00457C6B" w:rsidRDefault="0047703E">
      <w:pPr>
        <w:pStyle w:val="NormaleWeb"/>
        <w:rPr>
          <w:rFonts w:ascii="Arial" w:hAnsi="Arial" w:cs="Arial"/>
          <w:sz w:val="22"/>
          <w:szCs w:val="22"/>
        </w:rPr>
      </w:pPr>
      <w:r>
        <w:rPr>
          <w:rFonts w:ascii="Arial" w:hAnsi="Arial" w:cs="Arial"/>
          <w:sz w:val="22"/>
          <w:szCs w:val="22"/>
        </w:rPr>
        <w:t xml:space="preserve">Considerato che, come indicato nella FAQ n.28 del sito </w:t>
      </w:r>
      <w:proofErr w:type="spellStart"/>
      <w:r>
        <w:rPr>
          <w:rFonts w:ascii="Arial" w:hAnsi="Arial" w:cs="Arial"/>
          <w:sz w:val="22"/>
          <w:szCs w:val="22"/>
        </w:rPr>
        <w:t>Arconet</w:t>
      </w:r>
      <w:proofErr w:type="spellEnd"/>
      <w:r>
        <w:rPr>
          <w:rFonts w:ascii="Arial" w:hAnsi="Arial" w:cs="Arial"/>
          <w:sz w:val="22"/>
          <w:szCs w:val="22"/>
        </w:rPr>
        <w:t xml:space="preserve">, per determinare il rispetto dell’obiettivo di competenza mista per gli anni 2016 e 2017, l’ammontare della previsione di accertamenti di parte corrente considerato ai fini del saldo espresso in termini di competenza mista è incrementato dell’importo del fondo pluriennale vincolato di parte corrente iscritto tra le entrate del bilancio di previsione ed è </w:t>
      </w:r>
      <w:proofErr w:type="spellStart"/>
      <w:r>
        <w:rPr>
          <w:rFonts w:ascii="Arial" w:hAnsi="Arial" w:cs="Arial"/>
          <w:sz w:val="22"/>
          <w:szCs w:val="22"/>
        </w:rPr>
        <w:t>nettizzato</w:t>
      </w:r>
      <w:proofErr w:type="spellEnd"/>
      <w:r>
        <w:rPr>
          <w:rFonts w:ascii="Arial" w:hAnsi="Arial" w:cs="Arial"/>
          <w:sz w:val="22"/>
          <w:szCs w:val="22"/>
        </w:rPr>
        <w:t xml:space="preserve"> dell’importo definitivo del fondo pluriennale di parte corrente iscritto tra le spese del medesimo bilancio di previsione.</w:t>
      </w:r>
    </w:p>
    <w:p w:rsidR="00457C6B" w:rsidRDefault="0047703E">
      <w:pPr>
        <w:pStyle w:val="NormaleWeb"/>
        <w:rPr>
          <w:rFonts w:ascii="Arial" w:hAnsi="Arial" w:cs="Arial"/>
          <w:sz w:val="22"/>
          <w:szCs w:val="22"/>
        </w:rPr>
      </w:pPr>
      <w:r>
        <w:rPr>
          <w:rFonts w:ascii="Arial" w:hAnsi="Arial" w:cs="Arial"/>
          <w:sz w:val="22"/>
          <w:szCs w:val="22"/>
        </w:rPr>
        <w:t>Ai fini del calcolo sopra indicato si fa riferimento al fondo pluriennale di parte corrente, determinato al netto delle entrate escluse dal patto di stabilità interno.</w:t>
      </w:r>
    </w:p>
    <w:p w:rsidR="00457C6B" w:rsidRDefault="0047703E">
      <w:pPr>
        <w:spacing w:before="120" w:after="60"/>
        <w:jc w:val="both"/>
        <w:rPr>
          <w:rFonts w:ascii="Arial" w:hAnsi="Arial" w:cs="Arial"/>
          <w:sz w:val="22"/>
          <w:szCs w:val="22"/>
        </w:rPr>
      </w:pPr>
      <w:r>
        <w:rPr>
          <w:rFonts w:ascii="Arial" w:hAnsi="Arial" w:cs="Arial"/>
          <w:sz w:val="22"/>
          <w:szCs w:val="22"/>
        </w:rPr>
        <w:t>Dal prospetto allegato al bilancio gli obiettivi risultano così conseguibili:</w:t>
      </w:r>
    </w:p>
    <w:p w:rsidR="00692256" w:rsidRDefault="00692256">
      <w:pPr>
        <w:spacing w:before="120" w:after="60"/>
        <w:jc w:val="both"/>
        <w:rPr>
          <w:rFonts w:ascii="Arial" w:hAnsi="Arial" w:cs="Arial"/>
          <w:sz w:val="22"/>
          <w:szCs w:val="22"/>
        </w:rPr>
      </w:pPr>
      <w:r w:rsidRPr="00824CF3">
        <w:rPr>
          <w:rFonts w:ascii="Arial" w:hAnsi="Arial" w:cs="Arial"/>
          <w:sz w:val="22"/>
          <w:szCs w:val="22"/>
        </w:rPr>
        <w:object w:dxaOrig="5891" w:dyaOrig="1361">
          <v:shape id="_x0000_i1041" type="#_x0000_t75" style="width:294.8pt;height:67.9pt" o:ole="">
            <v:imagedata r:id="rId43" o:title=""/>
          </v:shape>
          <o:OLEObject Type="Embed" ProgID="Excel.Sheet.8" ShapeID="_x0000_i1041" DrawAspect="Content" ObjectID="_1484374342" r:id="rId44"/>
        </w:object>
      </w:r>
    </w:p>
    <w:p w:rsidR="00457C6B" w:rsidRDefault="00457C6B">
      <w:pPr>
        <w:jc w:val="both"/>
        <w:rPr>
          <w:rFonts w:ascii="Arial" w:hAnsi="Arial" w:cs="Arial"/>
          <w:sz w:val="20"/>
        </w:rPr>
      </w:pPr>
    </w:p>
    <w:p w:rsidR="00457C6B" w:rsidRDefault="0047703E">
      <w:pPr>
        <w:ind w:right="-50"/>
        <w:jc w:val="both"/>
        <w:rPr>
          <w:rFonts w:ascii="Arial" w:hAnsi="Arial" w:cs="Arial"/>
          <w:sz w:val="22"/>
          <w:szCs w:val="22"/>
        </w:rPr>
      </w:pPr>
      <w:r>
        <w:rPr>
          <w:rFonts w:ascii="Arial" w:hAnsi="Arial" w:cs="Arial"/>
          <w:sz w:val="22"/>
          <w:szCs w:val="22"/>
        </w:rPr>
        <w:t xml:space="preserve">L'apposito prospetto allegato al bilancio di previsione, per la parte relativa ai flussi di cassa, è stato elaborato dal settore finanziario in stretta collaborazione con il settore tecnico che ha indicato la tempistica dei pagamenti in base alla programmazione delle spese del titolo II, in quanto sono stati analizzati, per quanto riguarda la spesa, i pagamenti degli stati d’avanzamento di lavori già autorizzati nonché i pagamenti prevedibili sulle opere da realizzare negli anni 2015/2017, avendo riguardo al </w:t>
      </w:r>
      <w:proofErr w:type="spellStart"/>
      <w:r>
        <w:rPr>
          <w:rFonts w:ascii="Arial" w:hAnsi="Arial" w:cs="Arial"/>
          <w:sz w:val="22"/>
          <w:szCs w:val="22"/>
        </w:rPr>
        <w:t>cronoprogramma</w:t>
      </w:r>
      <w:proofErr w:type="spellEnd"/>
      <w:r>
        <w:rPr>
          <w:rFonts w:ascii="Arial" w:hAnsi="Arial" w:cs="Arial"/>
          <w:sz w:val="22"/>
          <w:szCs w:val="22"/>
        </w:rPr>
        <w:t xml:space="preserve"> dei lavori pubblici, nonché alle opere programmate in conto capitale e stanziate nel bilancio, ancorché non inserite nel programma opere pubbliche in quanto inferiori a euro. 100.000 di valore. </w:t>
      </w:r>
    </w:p>
    <w:p w:rsidR="00457C6B" w:rsidRDefault="0047703E">
      <w:pPr>
        <w:spacing w:before="120" w:after="60"/>
        <w:ind w:right="-50"/>
        <w:jc w:val="both"/>
        <w:rPr>
          <w:rFonts w:ascii="Arial" w:hAnsi="Arial" w:cs="Arial"/>
          <w:sz w:val="22"/>
          <w:szCs w:val="22"/>
        </w:rPr>
      </w:pPr>
      <w:r>
        <w:rPr>
          <w:rFonts w:ascii="Arial" w:hAnsi="Arial" w:cs="Arial"/>
          <w:sz w:val="22"/>
          <w:szCs w:val="22"/>
        </w:rPr>
        <w:t>Le previsioni di incasso delle entrate del titolo IV e di pagamento delle spese del titolo II, dovranno essere monitorate durante la gestione al fine di mantenere l’obiettivo di rispetto del patto di stabilità interno.</w:t>
      </w:r>
    </w:p>
    <w:p w:rsidR="00457C6B" w:rsidRDefault="0047703E">
      <w:pPr>
        <w:spacing w:before="120" w:after="60"/>
        <w:jc w:val="both"/>
        <w:rPr>
          <w:rFonts w:ascii="Arial" w:hAnsi="Arial" w:cs="Arial"/>
          <w:color w:val="0000FF"/>
          <w:sz w:val="20"/>
          <w:szCs w:val="20"/>
        </w:rPr>
      </w:pPr>
      <w:r>
        <w:rPr>
          <w:rFonts w:ascii="Arial" w:hAnsi="Arial" w:cs="Arial"/>
          <w:color w:val="0000FF"/>
          <w:sz w:val="20"/>
          <w:szCs w:val="20"/>
        </w:rPr>
        <w:t>(Nel caso di previsioni superiori agli obiettivi del patto di stabilità 2015 o con obiettivo programmatico artificiosamente raggiunto vedere la formulazione contenuta nella parte “osservazioni e suggerimenti”)</w:t>
      </w: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AB315A" w:rsidRDefault="00AB315A">
      <w:pPr>
        <w:spacing w:before="120" w:after="60"/>
        <w:jc w:val="both"/>
        <w:rPr>
          <w:rFonts w:ascii="Arial" w:hAnsi="Arial" w:cs="Arial"/>
          <w:sz w:val="20"/>
          <w:highlight w:val="yellow"/>
        </w:rPr>
      </w:pPr>
    </w:p>
    <w:p w:rsidR="00457C6B" w:rsidRDefault="00457C6B">
      <w:pPr>
        <w:spacing w:before="120" w:after="60"/>
        <w:jc w:val="both"/>
        <w:rPr>
          <w:rFonts w:ascii="Arial" w:hAnsi="Arial" w:cs="Arial"/>
          <w:sz w:val="20"/>
          <w:highlight w:val="yellow"/>
        </w:rPr>
      </w:pPr>
    </w:p>
    <w:p w:rsidR="00457C6B" w:rsidRDefault="0047703E">
      <w:pPr>
        <w:pStyle w:val="Titolo1"/>
        <w:rPr>
          <w:sz w:val="32"/>
          <w:szCs w:val="32"/>
        </w:rPr>
      </w:pPr>
      <w:bookmarkStart w:id="29" w:name="_VERIFICA_ATTENDIBILITA’_E"/>
      <w:bookmarkStart w:id="30" w:name="_Toc408988069"/>
      <w:bookmarkEnd w:id="29"/>
      <w:r>
        <w:rPr>
          <w:sz w:val="32"/>
          <w:szCs w:val="32"/>
        </w:rPr>
        <w:t>VERIFICA ATTENDIBILITA’ E CONGRUITA’ DELLE PREVISIONI ANNO 2015</w:t>
      </w:r>
      <w:bookmarkEnd w:id="30"/>
    </w:p>
    <w:p w:rsidR="00457C6B" w:rsidRDefault="0047703E">
      <w:pPr>
        <w:pStyle w:val="Corpodeltesto2"/>
        <w:numPr>
          <w:ilvl w:val="12"/>
          <w:numId w:val="0"/>
        </w:numPr>
        <w:tabs>
          <w:tab w:val="clear" w:pos="426"/>
          <w:tab w:val="left" w:pos="708"/>
        </w:tabs>
        <w:jc w:val="both"/>
        <w:rPr>
          <w:sz w:val="20"/>
        </w:rPr>
      </w:pPr>
      <w:r>
        <w:rPr>
          <w:sz w:val="20"/>
        </w:rPr>
        <w:br w:type="page"/>
      </w:r>
    </w:p>
    <w:p w:rsidR="00457C6B" w:rsidRDefault="0047703E">
      <w:pPr>
        <w:pStyle w:val="Corpodeltesto2"/>
        <w:numPr>
          <w:ilvl w:val="12"/>
          <w:numId w:val="0"/>
        </w:numPr>
        <w:tabs>
          <w:tab w:val="clear" w:pos="426"/>
          <w:tab w:val="left" w:pos="708"/>
        </w:tabs>
        <w:jc w:val="both"/>
        <w:rPr>
          <w:szCs w:val="22"/>
        </w:rPr>
      </w:pPr>
      <w:r>
        <w:rPr>
          <w:szCs w:val="22"/>
        </w:rPr>
        <w:lastRenderedPageBreak/>
        <w:t>Ai fini della verifica dell’attendibilità delle entrate e congruità delle spese previste per l’esercizio 2015, alla luce della manovra disposta dall’ente, sono state analizzate in particolare le voci di bilancio appresso riportate.</w:t>
      </w:r>
    </w:p>
    <w:p w:rsidR="00457C6B" w:rsidRDefault="00457C6B">
      <w:pPr>
        <w:pStyle w:val="Corpodeltesto2"/>
        <w:numPr>
          <w:ilvl w:val="12"/>
          <w:numId w:val="0"/>
        </w:numPr>
        <w:tabs>
          <w:tab w:val="clear" w:pos="426"/>
          <w:tab w:val="left" w:pos="708"/>
        </w:tabs>
        <w:jc w:val="both"/>
        <w:rPr>
          <w:szCs w:val="22"/>
        </w:rPr>
      </w:pPr>
    </w:p>
    <w:p w:rsidR="00457C6B" w:rsidRDefault="0047703E">
      <w:pPr>
        <w:pStyle w:val="Titolo2"/>
      </w:pPr>
      <w:bookmarkStart w:id="31" w:name="_ENTRATE_CORRENTI"/>
      <w:bookmarkStart w:id="32" w:name="_Toc408988070"/>
      <w:bookmarkEnd w:id="31"/>
      <w:r>
        <w:t>ENTRATE CORRENTI</w:t>
      </w:r>
      <w:bookmarkEnd w:id="32"/>
    </w:p>
    <w:p w:rsidR="00457C6B" w:rsidRDefault="00457C6B">
      <w:pPr>
        <w:rPr>
          <w:rFonts w:ascii="Arial" w:hAnsi="Arial" w:cs="Arial"/>
          <w:b/>
          <w:sz w:val="20"/>
        </w:rPr>
      </w:pPr>
    </w:p>
    <w:p w:rsidR="00457C6B" w:rsidRDefault="00457C6B">
      <w:pPr>
        <w:rPr>
          <w:rFonts w:ascii="Arial" w:hAnsi="Arial" w:cs="Arial"/>
          <w:b/>
          <w:sz w:val="20"/>
        </w:rPr>
      </w:pPr>
    </w:p>
    <w:p w:rsidR="00457C6B" w:rsidRDefault="0047703E">
      <w:pPr>
        <w:pStyle w:val="Titolo3"/>
      </w:pPr>
      <w:r>
        <w:t>Entrate tributarie</w:t>
      </w:r>
    </w:p>
    <w:p w:rsidR="00457C6B" w:rsidRDefault="00457C6B">
      <w:pPr>
        <w:rPr>
          <w:rFonts w:ascii="Arial" w:hAnsi="Arial" w:cs="Arial"/>
          <w:b/>
          <w:sz w:val="20"/>
        </w:rPr>
      </w:pPr>
    </w:p>
    <w:p w:rsidR="00457C6B" w:rsidRDefault="0047703E">
      <w:pPr>
        <w:pStyle w:val="Intestazione"/>
        <w:numPr>
          <w:ilvl w:val="12"/>
          <w:numId w:val="0"/>
        </w:numPr>
        <w:tabs>
          <w:tab w:val="left" w:pos="708"/>
        </w:tabs>
        <w:rPr>
          <w:rFonts w:cs="Arial"/>
          <w:sz w:val="22"/>
          <w:szCs w:val="22"/>
        </w:rPr>
      </w:pPr>
      <w:r>
        <w:rPr>
          <w:rFonts w:cs="Arial"/>
          <w:sz w:val="22"/>
          <w:szCs w:val="22"/>
        </w:rPr>
        <w:t xml:space="preserve">Le previsioni di entrate tributarie presentano le seguenti variazioni rispetto al rendiconto 2013 e </w:t>
      </w:r>
      <w:r>
        <w:rPr>
          <w:rFonts w:cs="Arial"/>
          <w:color w:val="0000FF"/>
          <w:sz w:val="20"/>
        </w:rPr>
        <w:t>alle previsioni definitive / al rendiconto</w:t>
      </w:r>
      <w:r>
        <w:rPr>
          <w:rFonts w:cs="Arial"/>
          <w:sz w:val="22"/>
          <w:szCs w:val="22"/>
        </w:rPr>
        <w:t xml:space="preserve"> </w:t>
      </w:r>
      <w:r>
        <w:rPr>
          <w:rFonts w:cs="Arial"/>
          <w:color w:val="0000FF"/>
          <w:sz w:val="22"/>
          <w:szCs w:val="22"/>
        </w:rPr>
        <w:t>2014</w:t>
      </w:r>
      <w:r>
        <w:rPr>
          <w:rFonts w:cs="Arial"/>
          <w:sz w:val="22"/>
          <w:szCs w:val="22"/>
        </w:rPr>
        <w:t>:</w:t>
      </w:r>
    </w:p>
    <w:p w:rsidR="00B31F1F" w:rsidRDefault="00B31F1F">
      <w:pPr>
        <w:pStyle w:val="Intestazione"/>
        <w:numPr>
          <w:ilvl w:val="12"/>
          <w:numId w:val="0"/>
        </w:numPr>
        <w:tabs>
          <w:tab w:val="left" w:pos="708"/>
        </w:tabs>
        <w:rPr>
          <w:rFonts w:cs="Arial"/>
          <w:sz w:val="22"/>
          <w:szCs w:val="22"/>
        </w:rPr>
      </w:pPr>
      <w:r w:rsidRPr="00B771D5">
        <w:rPr>
          <w:rFonts w:cs="Arial"/>
          <w:sz w:val="22"/>
          <w:szCs w:val="22"/>
        </w:rPr>
        <w:object w:dxaOrig="8195" w:dyaOrig="8052">
          <v:shape id="_x0000_i1042" type="#_x0000_t75" style="width:409.6pt;height:402.8pt" o:ole="">
            <v:imagedata r:id="rId45" o:title=""/>
          </v:shape>
          <o:OLEObject Type="Embed" ProgID="Excel.Sheet.8" ShapeID="_x0000_i1042" DrawAspect="Content" ObjectID="_1484374343" r:id="rId46"/>
        </w:object>
      </w:r>
    </w:p>
    <w:p w:rsidR="00AB4CC5" w:rsidRDefault="00AB4CC5">
      <w:pPr>
        <w:pStyle w:val="Intestazione"/>
        <w:numPr>
          <w:ilvl w:val="12"/>
          <w:numId w:val="0"/>
        </w:numPr>
        <w:tabs>
          <w:tab w:val="left" w:pos="708"/>
        </w:tabs>
        <w:rPr>
          <w:rFonts w:cs="Arial"/>
          <w:sz w:val="22"/>
          <w:szCs w:val="22"/>
        </w:rPr>
      </w:pPr>
    </w:p>
    <w:tbl>
      <w:tblPr>
        <w:tblW w:w="7760" w:type="dxa"/>
        <w:tblInd w:w="55" w:type="dxa"/>
        <w:tblCellMar>
          <w:left w:w="70" w:type="dxa"/>
          <w:right w:w="70" w:type="dxa"/>
        </w:tblCellMar>
        <w:tblLook w:val="00A0"/>
      </w:tblPr>
      <w:tblGrid>
        <w:gridCol w:w="3440"/>
        <w:gridCol w:w="1440"/>
        <w:gridCol w:w="1440"/>
        <w:gridCol w:w="1440"/>
      </w:tblGrid>
      <w:tr w:rsidR="00457C6B">
        <w:trPr>
          <w:trHeight w:val="270"/>
        </w:trPr>
        <w:tc>
          <w:tcPr>
            <w:tcW w:w="3440" w:type="dxa"/>
            <w:tcBorders>
              <w:top w:val="nil"/>
              <w:left w:val="nil"/>
              <w:bottom w:val="nil"/>
              <w:right w:val="nil"/>
            </w:tcBorders>
            <w:noWrap/>
            <w:vAlign w:val="bottom"/>
          </w:tcPr>
          <w:p w:rsidR="00457C6B" w:rsidRDefault="00457C6B">
            <w:pPr>
              <w:rPr>
                <w:rFonts w:ascii="Calibri" w:hAnsi="Calibri" w:cs="Arial"/>
                <w:color w:val="000000"/>
              </w:rPr>
            </w:pPr>
          </w:p>
        </w:tc>
        <w:tc>
          <w:tcPr>
            <w:tcW w:w="1440" w:type="dxa"/>
            <w:tcBorders>
              <w:top w:val="nil"/>
              <w:left w:val="nil"/>
              <w:bottom w:val="nil"/>
              <w:right w:val="nil"/>
            </w:tcBorders>
            <w:noWrap/>
            <w:vAlign w:val="bottom"/>
          </w:tcPr>
          <w:p w:rsidR="00457C6B" w:rsidRDefault="00457C6B">
            <w:pPr>
              <w:rPr>
                <w:rFonts w:ascii="Calibri" w:hAnsi="Calibri" w:cs="Arial"/>
                <w:color w:val="000000"/>
              </w:rPr>
            </w:pPr>
          </w:p>
        </w:tc>
        <w:tc>
          <w:tcPr>
            <w:tcW w:w="1440" w:type="dxa"/>
            <w:tcBorders>
              <w:top w:val="nil"/>
              <w:left w:val="nil"/>
              <w:bottom w:val="nil"/>
              <w:right w:val="nil"/>
            </w:tcBorders>
            <w:noWrap/>
            <w:vAlign w:val="bottom"/>
          </w:tcPr>
          <w:p w:rsidR="00457C6B" w:rsidRDefault="00457C6B">
            <w:pPr>
              <w:rPr>
                <w:rFonts w:ascii="Calibri" w:hAnsi="Calibri" w:cs="Arial"/>
                <w:color w:val="000000"/>
              </w:rPr>
            </w:pPr>
          </w:p>
        </w:tc>
        <w:tc>
          <w:tcPr>
            <w:tcW w:w="1440" w:type="dxa"/>
            <w:tcBorders>
              <w:top w:val="nil"/>
              <w:left w:val="nil"/>
              <w:bottom w:val="nil"/>
              <w:right w:val="nil"/>
            </w:tcBorders>
            <w:noWrap/>
            <w:vAlign w:val="bottom"/>
          </w:tcPr>
          <w:p w:rsidR="00457C6B" w:rsidRDefault="00457C6B">
            <w:pPr>
              <w:jc w:val="right"/>
              <w:rPr>
                <w:rFonts w:ascii="Arial" w:hAnsi="Arial" w:cs="Arial"/>
                <w:sz w:val="16"/>
                <w:szCs w:val="16"/>
              </w:rPr>
            </w:pPr>
          </w:p>
        </w:tc>
      </w:tr>
    </w:tbl>
    <w:p w:rsidR="00457C6B" w:rsidRDefault="0047703E">
      <w:pPr>
        <w:pStyle w:val="Titolo3"/>
      </w:pPr>
      <w:r>
        <w:t>Imposta municipale propria</w:t>
      </w:r>
    </w:p>
    <w:p w:rsidR="00457C6B" w:rsidRDefault="0047703E">
      <w:pPr>
        <w:rPr>
          <w:rFonts w:ascii="Arial" w:hAnsi="Arial" w:cs="Arial"/>
          <w:sz w:val="22"/>
          <w:szCs w:val="22"/>
        </w:rPr>
      </w:pPr>
      <w:r>
        <w:rPr>
          <w:rFonts w:ascii="Arial" w:hAnsi="Arial" w:cs="Arial"/>
          <w:sz w:val="22"/>
          <w:szCs w:val="22"/>
        </w:rPr>
        <w:t>Il gettito, determinato sulla base:</w:t>
      </w:r>
    </w:p>
    <w:p w:rsidR="00457C6B" w:rsidRDefault="0047703E">
      <w:pPr>
        <w:numPr>
          <w:ilvl w:val="0"/>
          <w:numId w:val="30"/>
        </w:numPr>
        <w:rPr>
          <w:rFonts w:ascii="Arial" w:hAnsi="Arial" w:cs="Arial"/>
          <w:sz w:val="22"/>
          <w:szCs w:val="22"/>
        </w:rPr>
      </w:pPr>
      <w:r>
        <w:rPr>
          <w:rFonts w:ascii="Arial" w:hAnsi="Arial" w:cs="Arial"/>
          <w:sz w:val="22"/>
          <w:szCs w:val="22"/>
        </w:rPr>
        <w:t>dell’art. 1, comma 380 della Legge 24/12/2012 n. 228;</w:t>
      </w:r>
    </w:p>
    <w:p w:rsidR="00457C6B" w:rsidRDefault="0047703E">
      <w:pPr>
        <w:numPr>
          <w:ilvl w:val="0"/>
          <w:numId w:val="30"/>
        </w:numPr>
        <w:jc w:val="both"/>
        <w:rPr>
          <w:rFonts w:ascii="Arial" w:hAnsi="Arial" w:cs="Arial"/>
          <w:sz w:val="22"/>
          <w:szCs w:val="22"/>
        </w:rPr>
      </w:pPr>
      <w:r>
        <w:rPr>
          <w:rFonts w:ascii="Arial" w:hAnsi="Arial" w:cs="Arial"/>
          <w:sz w:val="22"/>
          <w:szCs w:val="22"/>
        </w:rPr>
        <w:t xml:space="preserve">delle aliquote deliberate </w:t>
      </w:r>
      <w:r>
        <w:rPr>
          <w:rFonts w:ascii="Arial" w:hAnsi="Arial" w:cs="Arial"/>
          <w:color w:val="0000FF"/>
          <w:sz w:val="20"/>
          <w:szCs w:val="20"/>
        </w:rPr>
        <w:t>(o da deliberare)</w:t>
      </w:r>
      <w:r>
        <w:rPr>
          <w:rFonts w:ascii="Arial" w:hAnsi="Arial" w:cs="Arial"/>
          <w:sz w:val="22"/>
          <w:szCs w:val="22"/>
        </w:rPr>
        <w:t xml:space="preserve"> per l’anno 2015 in aumento o diminuzione rispetto all’aliquota base ai sensi dei commi da 6 a 10 dell’art. 13 D.L. n. 201 del 6/12/2011 e sulla base del regolamento del tributo</w:t>
      </w:r>
    </w:p>
    <w:p w:rsidR="00457C6B" w:rsidRDefault="0047703E">
      <w:pPr>
        <w:jc w:val="both"/>
        <w:rPr>
          <w:rFonts w:ascii="Arial" w:hAnsi="Arial" w:cs="Arial"/>
          <w:sz w:val="22"/>
          <w:szCs w:val="22"/>
        </w:rPr>
      </w:pPr>
      <w:r>
        <w:rPr>
          <w:rFonts w:ascii="Arial" w:hAnsi="Arial" w:cs="Arial"/>
          <w:sz w:val="22"/>
          <w:szCs w:val="22"/>
        </w:rPr>
        <w:t xml:space="preserve">è stato previsto in euro </w:t>
      </w:r>
      <w:proofErr w:type="spellStart"/>
      <w:r>
        <w:rPr>
          <w:rFonts w:ascii="Arial" w:hAnsi="Arial" w:cs="Arial"/>
          <w:sz w:val="22"/>
          <w:szCs w:val="22"/>
        </w:rPr>
        <w:t>…………</w:t>
      </w:r>
      <w:proofErr w:type="spellEnd"/>
      <w:r>
        <w:rPr>
          <w:rFonts w:ascii="Arial" w:hAnsi="Arial" w:cs="Arial"/>
          <w:sz w:val="22"/>
          <w:szCs w:val="22"/>
        </w:rPr>
        <w:t>, con una variazione di:</w:t>
      </w:r>
    </w:p>
    <w:p w:rsidR="00457C6B" w:rsidRDefault="0047703E">
      <w:pPr>
        <w:numPr>
          <w:ilvl w:val="0"/>
          <w:numId w:val="29"/>
        </w:numPr>
        <w:jc w:val="both"/>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rispetto alla somma accertata per IMU nel rendiconto 2013 </w:t>
      </w:r>
    </w:p>
    <w:p w:rsidR="00457C6B" w:rsidRDefault="0047703E">
      <w:pPr>
        <w:numPr>
          <w:ilvl w:val="0"/>
          <w:numId w:val="29"/>
        </w:numPr>
        <w:jc w:val="both"/>
        <w:rPr>
          <w:rFonts w:ascii="Arial" w:hAnsi="Arial" w:cs="Arial"/>
          <w:sz w:val="22"/>
          <w:szCs w:val="22"/>
        </w:rPr>
      </w:pPr>
      <w:r>
        <w:rPr>
          <w:rFonts w:ascii="Arial" w:hAnsi="Arial" w:cs="Arial"/>
          <w:sz w:val="22"/>
          <w:szCs w:val="22"/>
        </w:rPr>
        <w:lastRenderedPageBreak/>
        <w:t xml:space="preserve">euro </w:t>
      </w:r>
      <w:proofErr w:type="spellStart"/>
      <w:r>
        <w:rPr>
          <w:rFonts w:ascii="Arial" w:hAnsi="Arial" w:cs="Arial"/>
          <w:sz w:val="22"/>
          <w:szCs w:val="22"/>
        </w:rPr>
        <w:t>………………………</w:t>
      </w:r>
      <w:proofErr w:type="spellEnd"/>
      <w:r>
        <w:rPr>
          <w:rFonts w:ascii="Arial" w:hAnsi="Arial" w:cs="Arial"/>
          <w:sz w:val="22"/>
          <w:szCs w:val="22"/>
        </w:rPr>
        <w:t xml:space="preserve"> rispetto alla somma accertata per </w:t>
      </w:r>
      <w:proofErr w:type="spellStart"/>
      <w:r>
        <w:rPr>
          <w:rFonts w:ascii="Arial" w:hAnsi="Arial" w:cs="Arial"/>
          <w:sz w:val="22"/>
          <w:szCs w:val="22"/>
        </w:rPr>
        <w:t>Imu</w:t>
      </w:r>
      <w:proofErr w:type="spellEnd"/>
      <w:r>
        <w:rPr>
          <w:rFonts w:ascii="Arial" w:hAnsi="Arial" w:cs="Arial"/>
          <w:sz w:val="22"/>
          <w:szCs w:val="22"/>
        </w:rPr>
        <w:t xml:space="preserve"> nel rendiconto 2014 (o nella previsione definitiva del bilancio 2014).</w:t>
      </w:r>
    </w:p>
    <w:p w:rsidR="00457C6B" w:rsidRDefault="0047703E">
      <w:pPr>
        <w:jc w:val="both"/>
        <w:rPr>
          <w:rFonts w:ascii="Arial" w:hAnsi="Arial" w:cs="Arial"/>
          <w:i/>
          <w:color w:val="0000FF"/>
          <w:sz w:val="20"/>
          <w:szCs w:val="20"/>
        </w:rPr>
      </w:pPr>
      <w:r>
        <w:rPr>
          <w:rFonts w:ascii="Arial" w:hAnsi="Arial" w:cs="Arial"/>
          <w:sz w:val="22"/>
          <w:szCs w:val="22"/>
        </w:rPr>
        <w:t xml:space="preserve">Il gettito derivante dall’attività di controllo delle dichiarazioni ICI/IMU di anni precedenti è previsto in euro </w:t>
      </w:r>
      <w:proofErr w:type="spellStart"/>
      <w:r>
        <w:rPr>
          <w:rFonts w:ascii="Arial" w:hAnsi="Arial" w:cs="Arial"/>
          <w:sz w:val="22"/>
          <w:szCs w:val="22"/>
        </w:rPr>
        <w:t>………</w:t>
      </w:r>
      <w:proofErr w:type="spellEnd"/>
      <w:r>
        <w:rPr>
          <w:rFonts w:ascii="Arial" w:hAnsi="Arial" w:cs="Arial"/>
          <w:sz w:val="22"/>
          <w:szCs w:val="22"/>
        </w:rPr>
        <w:t xml:space="preserve">, sulla base del programma di controllo indicato nella relazione previsionale e programmatica </w:t>
      </w:r>
      <w:r>
        <w:rPr>
          <w:rFonts w:ascii="Arial" w:hAnsi="Arial" w:cs="Arial"/>
          <w:color w:val="0000FF"/>
          <w:sz w:val="20"/>
          <w:szCs w:val="20"/>
        </w:rPr>
        <w:t>(oppure: che sarà deliberato con apposito atto della Giunta comunale)</w:t>
      </w:r>
      <w:r>
        <w:rPr>
          <w:rFonts w:ascii="Arial" w:hAnsi="Arial" w:cs="Arial"/>
          <w:i/>
          <w:color w:val="0000FF"/>
          <w:sz w:val="20"/>
          <w:szCs w:val="20"/>
        </w:rPr>
        <w:t>.</w:t>
      </w:r>
    </w:p>
    <w:p w:rsidR="00457C6B" w:rsidRDefault="0047703E">
      <w:pPr>
        <w:jc w:val="both"/>
        <w:rPr>
          <w:rFonts w:ascii="Arial" w:hAnsi="Arial" w:cs="Arial"/>
          <w:sz w:val="22"/>
          <w:szCs w:val="22"/>
        </w:rPr>
      </w:pPr>
      <w:r>
        <w:rPr>
          <w:rFonts w:ascii="Arial" w:hAnsi="Arial" w:cs="Arial"/>
          <w:sz w:val="22"/>
          <w:szCs w:val="22"/>
        </w:rPr>
        <w:t>L’ente dovrà provvedere a norma dell’art. 31, comma 19 della Legge 27/12/2002 n. 289 a comunicare ai proprietari la natura di area fabbricabile del terreno posseduto.</w:t>
      </w:r>
    </w:p>
    <w:p w:rsidR="00457C6B" w:rsidRDefault="0047703E">
      <w:pPr>
        <w:pStyle w:val="Corpodeltesto2"/>
        <w:numPr>
          <w:ilvl w:val="12"/>
          <w:numId w:val="0"/>
        </w:numPr>
        <w:tabs>
          <w:tab w:val="clear" w:pos="426"/>
          <w:tab w:val="left" w:pos="708"/>
        </w:tabs>
        <w:spacing w:before="120"/>
        <w:jc w:val="both"/>
        <w:rPr>
          <w:szCs w:val="22"/>
        </w:rPr>
      </w:pPr>
      <w:r>
        <w:rPr>
          <w:szCs w:val="22"/>
        </w:rPr>
        <w:t xml:space="preserve">Nella spesa è prevista la somma di euro  </w:t>
      </w:r>
      <w:proofErr w:type="spellStart"/>
      <w:r>
        <w:rPr>
          <w:szCs w:val="22"/>
        </w:rPr>
        <w:t>……</w:t>
      </w:r>
      <w:proofErr w:type="spellEnd"/>
      <w:r>
        <w:rPr>
          <w:szCs w:val="22"/>
        </w:rPr>
        <w:t xml:space="preserve">  per eventuali rimborsi di ICI/IMU di anni precedenti.</w:t>
      </w:r>
    </w:p>
    <w:p w:rsidR="00457C6B" w:rsidRDefault="00457C6B">
      <w:pPr>
        <w:numPr>
          <w:ilvl w:val="12"/>
          <w:numId w:val="0"/>
        </w:numPr>
        <w:rPr>
          <w:rFonts w:ascii="Arial" w:hAnsi="Arial" w:cs="Arial"/>
          <w:sz w:val="22"/>
          <w:szCs w:val="22"/>
        </w:rPr>
      </w:pPr>
    </w:p>
    <w:p w:rsidR="00457C6B" w:rsidRDefault="0047703E">
      <w:pPr>
        <w:pStyle w:val="Titolo3"/>
      </w:pPr>
      <w:r>
        <w:t>Addizionale comunale Irpef</w:t>
      </w:r>
    </w:p>
    <w:p w:rsidR="00457C6B" w:rsidRDefault="0047703E">
      <w:pPr>
        <w:jc w:val="both"/>
        <w:rPr>
          <w:rFonts w:ascii="Arial" w:hAnsi="Arial" w:cs="Arial"/>
          <w:sz w:val="22"/>
          <w:szCs w:val="22"/>
        </w:rPr>
      </w:pPr>
      <w:r>
        <w:rPr>
          <w:rFonts w:ascii="Arial" w:hAnsi="Arial" w:cs="Arial"/>
          <w:sz w:val="22"/>
          <w:szCs w:val="22"/>
        </w:rPr>
        <w:t xml:space="preserve">Il Consiglio dell’ente con regolamento approvato con delibera n. ... del </w:t>
      </w:r>
      <w:proofErr w:type="spellStart"/>
      <w:r>
        <w:rPr>
          <w:rFonts w:ascii="Arial" w:hAnsi="Arial" w:cs="Arial"/>
          <w:sz w:val="22"/>
          <w:szCs w:val="22"/>
        </w:rPr>
        <w:t>……</w:t>
      </w:r>
      <w:proofErr w:type="spellEnd"/>
      <w:r>
        <w:rPr>
          <w:rFonts w:ascii="Arial" w:hAnsi="Arial" w:cs="Arial"/>
          <w:sz w:val="22"/>
          <w:szCs w:val="22"/>
        </w:rPr>
        <w:t>, ha disposto la conferma (</w:t>
      </w:r>
      <w:r>
        <w:rPr>
          <w:rFonts w:ascii="Arial" w:hAnsi="Arial" w:cs="Arial"/>
          <w:color w:val="0000FF"/>
          <w:sz w:val="20"/>
          <w:szCs w:val="20"/>
        </w:rPr>
        <w:t>o variazione</w:t>
      </w:r>
      <w:r>
        <w:rPr>
          <w:rFonts w:ascii="Arial" w:hAnsi="Arial" w:cs="Arial"/>
          <w:sz w:val="22"/>
          <w:szCs w:val="22"/>
        </w:rPr>
        <w:t>) dell’addizionale Irpef da applicare per l’anno 2015 nella seguente misura:</w:t>
      </w:r>
    </w:p>
    <w:p w:rsidR="00457C6B" w:rsidRDefault="0047703E">
      <w:pPr>
        <w:jc w:val="both"/>
        <w:rPr>
          <w:rFonts w:ascii="Arial" w:hAnsi="Arial" w:cs="Arial"/>
          <w:sz w:val="22"/>
          <w:szCs w:val="22"/>
        </w:rPr>
      </w:pPr>
      <w:r>
        <w:rPr>
          <w:rFonts w:ascii="Arial" w:hAnsi="Arial" w:cs="Arial"/>
          <w:sz w:val="22"/>
          <w:szCs w:val="22"/>
        </w:rPr>
        <w:t xml:space="preserve">- aliquota unica del …% con soglia di esenzione di euro </w:t>
      </w:r>
      <w:proofErr w:type="spellStart"/>
      <w:r>
        <w:rPr>
          <w:rFonts w:ascii="Arial" w:hAnsi="Arial" w:cs="Arial"/>
          <w:sz w:val="22"/>
          <w:szCs w:val="22"/>
        </w:rPr>
        <w:t>………</w:t>
      </w:r>
      <w:proofErr w:type="spellEnd"/>
    </w:p>
    <w:p w:rsidR="00457C6B" w:rsidRDefault="0047703E">
      <w:pPr>
        <w:jc w:val="both"/>
        <w:rPr>
          <w:rFonts w:ascii="Arial" w:hAnsi="Arial" w:cs="Arial"/>
          <w:i/>
          <w:sz w:val="22"/>
          <w:szCs w:val="22"/>
        </w:rPr>
      </w:pPr>
      <w:r>
        <w:rPr>
          <w:rFonts w:ascii="Arial" w:hAnsi="Arial" w:cs="Arial"/>
          <w:sz w:val="22"/>
          <w:szCs w:val="22"/>
        </w:rPr>
        <w:t xml:space="preserve">- aliquote progressive sulla base degli scaglioni Irpef come segue </w:t>
      </w:r>
      <w:proofErr w:type="spellStart"/>
      <w:r>
        <w:rPr>
          <w:rFonts w:ascii="Arial" w:hAnsi="Arial" w:cs="Arial"/>
          <w:sz w:val="22"/>
          <w:szCs w:val="22"/>
        </w:rPr>
        <w:t>…………</w:t>
      </w:r>
      <w:proofErr w:type="spellEnd"/>
      <w:r>
        <w:rPr>
          <w:rFonts w:ascii="Arial" w:hAnsi="Arial" w:cs="Arial"/>
          <w:sz w:val="22"/>
          <w:szCs w:val="22"/>
        </w:rPr>
        <w:t xml:space="preserve"> con soglia di esenzione di euro </w:t>
      </w:r>
      <w:proofErr w:type="spellStart"/>
      <w:r>
        <w:rPr>
          <w:rFonts w:ascii="Arial" w:hAnsi="Arial" w:cs="Arial"/>
          <w:sz w:val="22"/>
          <w:szCs w:val="22"/>
        </w:rPr>
        <w:t>………………</w:t>
      </w:r>
      <w:proofErr w:type="spellEnd"/>
      <w:r>
        <w:rPr>
          <w:rFonts w:ascii="Arial" w:hAnsi="Arial" w:cs="Arial"/>
          <w:sz w:val="22"/>
          <w:szCs w:val="22"/>
        </w:rPr>
        <w:t xml:space="preserve"> </w:t>
      </w:r>
    </w:p>
    <w:p w:rsidR="00457C6B" w:rsidRDefault="0047703E">
      <w:pPr>
        <w:jc w:val="both"/>
        <w:rPr>
          <w:rFonts w:ascii="Arial" w:hAnsi="Arial" w:cs="Arial"/>
          <w:sz w:val="22"/>
          <w:szCs w:val="22"/>
        </w:rPr>
      </w:pPr>
      <w:r>
        <w:rPr>
          <w:rFonts w:ascii="Arial" w:hAnsi="Arial" w:cs="Arial"/>
          <w:sz w:val="22"/>
          <w:szCs w:val="22"/>
        </w:rPr>
        <w:t xml:space="preserve">      </w:t>
      </w:r>
    </w:p>
    <w:p w:rsidR="00457C6B" w:rsidRDefault="0047703E">
      <w:pPr>
        <w:jc w:val="both"/>
        <w:rPr>
          <w:rFonts w:ascii="Arial" w:hAnsi="Arial" w:cs="Arial"/>
          <w:color w:val="0000FF"/>
          <w:sz w:val="20"/>
          <w:szCs w:val="20"/>
        </w:rPr>
      </w:pPr>
      <w:r>
        <w:rPr>
          <w:rFonts w:ascii="Arial" w:hAnsi="Arial" w:cs="Arial"/>
          <w:color w:val="0000FF"/>
          <w:sz w:val="20"/>
          <w:szCs w:val="20"/>
        </w:rPr>
        <w:t>(l’art.1, comma 11 del D.L. 138/2011, convertito nella Legge148/2011, ha ripristinato a partire dall’1/1/2013 la possibilità di incrementare fino allo 0,8% anche in un’unica soluzione. E’ possibile differenziare l’addizionale in base al reddito con l’obbligo però di utilizzare gli stessi scaglioni previsti per l’IRPEF)</w:t>
      </w:r>
    </w:p>
    <w:p w:rsidR="00457C6B" w:rsidRDefault="0047703E">
      <w:pPr>
        <w:rPr>
          <w:rFonts w:ascii="Arial" w:hAnsi="Arial" w:cs="Arial"/>
          <w:color w:val="0000FF"/>
          <w:sz w:val="20"/>
          <w:szCs w:val="20"/>
        </w:rPr>
      </w:pPr>
      <w:r>
        <w:rPr>
          <w:rFonts w:ascii="Arial" w:hAnsi="Arial" w:cs="Arial"/>
          <w:color w:val="0000FF"/>
          <w:sz w:val="20"/>
          <w:szCs w:val="20"/>
        </w:rPr>
        <w:t>A partire dal periodo di imposta 2014 le addizionali regionali e comunali irpef saranno determinate in base al domicilio fiscale del contribuente alla data del 1 gennaio.(</w:t>
      </w:r>
      <w:proofErr w:type="spellStart"/>
      <w:r>
        <w:rPr>
          <w:rFonts w:ascii="Arial" w:hAnsi="Arial" w:cs="Arial"/>
          <w:color w:val="0000FF"/>
          <w:sz w:val="20"/>
          <w:szCs w:val="20"/>
        </w:rPr>
        <w:t>d.lgs</w:t>
      </w:r>
      <w:proofErr w:type="spellEnd"/>
      <w:r>
        <w:rPr>
          <w:rFonts w:ascii="Arial" w:hAnsi="Arial" w:cs="Arial"/>
          <w:color w:val="0000FF"/>
          <w:sz w:val="20"/>
          <w:szCs w:val="20"/>
        </w:rPr>
        <w:t>. 175 /2014 e circolare Agenzia entrate 31/E 2014)</w:t>
      </w:r>
    </w:p>
    <w:p w:rsidR="00457C6B" w:rsidRDefault="00457C6B">
      <w:pPr>
        <w:jc w:val="both"/>
        <w:rPr>
          <w:rFonts w:ascii="Arial" w:hAnsi="Arial" w:cs="Arial"/>
          <w:b/>
          <w:i/>
          <w:color w:val="0000FF"/>
          <w:sz w:val="18"/>
          <w:szCs w:val="18"/>
        </w:rPr>
      </w:pPr>
    </w:p>
    <w:p w:rsidR="00457C6B" w:rsidRDefault="0047703E">
      <w:pPr>
        <w:jc w:val="both"/>
        <w:rPr>
          <w:rFonts w:ascii="Arial" w:hAnsi="Arial" w:cs="Arial"/>
          <w:sz w:val="20"/>
        </w:rPr>
      </w:pPr>
      <w:r>
        <w:rPr>
          <w:rFonts w:ascii="Arial" w:hAnsi="Arial" w:cs="Arial"/>
          <w:sz w:val="22"/>
          <w:szCs w:val="22"/>
        </w:rPr>
        <w:t>Il gettito è previsto in euro  ............... tenendo conto dei seguenti elementi:</w:t>
      </w:r>
    </w:p>
    <w:p w:rsidR="00457C6B" w:rsidRDefault="0047703E">
      <w:pPr>
        <w:jc w:val="both"/>
        <w:rPr>
          <w:rFonts w:ascii="Arial" w:hAnsi="Arial" w:cs="Arial"/>
          <w:color w:val="0000FF"/>
          <w:sz w:val="20"/>
        </w:rPr>
      </w:pPr>
      <w:r>
        <w:rPr>
          <w:rFonts w:ascii="Arial" w:hAnsi="Arial" w:cs="Arial"/>
          <w:color w:val="0000FF"/>
          <w:sz w:val="20"/>
        </w:rPr>
        <w:t>(numero contribuenti x imponibile medio risultante dai dati Min. Finanze)</w:t>
      </w:r>
    </w:p>
    <w:p w:rsidR="00457C6B" w:rsidRDefault="0047703E">
      <w:pPr>
        <w:jc w:val="both"/>
        <w:rPr>
          <w:rFonts w:ascii="Arial" w:hAnsi="Arial" w:cs="Arial"/>
          <w:sz w:val="20"/>
        </w:rPr>
      </w:pPr>
      <w:proofErr w:type="spellStart"/>
      <w:r>
        <w:rPr>
          <w:rFonts w:ascii="Arial" w:hAnsi="Arial" w:cs="Arial"/>
          <w:sz w:val="20"/>
        </w:rPr>
        <w:t>………………………………………</w:t>
      </w:r>
      <w:proofErr w:type="spellEnd"/>
    </w:p>
    <w:p w:rsidR="00457C6B" w:rsidRDefault="00457C6B">
      <w:pPr>
        <w:rPr>
          <w:rFonts w:ascii="Arial" w:hAnsi="Arial" w:cs="Arial"/>
          <w:sz w:val="20"/>
        </w:rPr>
      </w:pPr>
    </w:p>
    <w:p w:rsidR="00457C6B" w:rsidRDefault="0047703E">
      <w:pPr>
        <w:pStyle w:val="Titolo3"/>
      </w:pPr>
      <w:r>
        <w:t>Fondo di solidarietà comunale</w:t>
      </w:r>
    </w:p>
    <w:p w:rsidR="00457C6B" w:rsidRDefault="0047703E">
      <w:pPr>
        <w:jc w:val="both"/>
        <w:rPr>
          <w:rFonts w:ascii="Arial" w:hAnsi="Arial" w:cs="Arial"/>
          <w:sz w:val="22"/>
        </w:rPr>
      </w:pPr>
      <w:r>
        <w:rPr>
          <w:rFonts w:ascii="Arial" w:hAnsi="Arial" w:cs="Arial"/>
          <w:sz w:val="22"/>
        </w:rPr>
        <w:t>Il fondo di solidarietà comunale di cui al comma 380 dell’art. 1 della Legge 24/12/2012 n. 228 è stato previsto tenendo conto:</w:t>
      </w:r>
    </w:p>
    <w:p w:rsidR="00457C6B" w:rsidRDefault="0047703E">
      <w:pPr>
        <w:jc w:val="both"/>
        <w:rPr>
          <w:rFonts w:ascii="Arial" w:hAnsi="Arial" w:cs="Arial"/>
          <w:sz w:val="20"/>
        </w:rPr>
      </w:pPr>
      <w:proofErr w:type="spellStart"/>
      <w:r>
        <w:rPr>
          <w:rFonts w:ascii="Arial" w:hAnsi="Arial" w:cs="Arial"/>
          <w:sz w:val="20"/>
        </w:rPr>
        <w:t>………………………………………………</w:t>
      </w:r>
      <w:proofErr w:type="spellEnd"/>
      <w:r>
        <w:rPr>
          <w:rFonts w:ascii="Arial" w:hAnsi="Arial" w:cs="Arial"/>
          <w:sz w:val="20"/>
        </w:rPr>
        <w:t>.</w:t>
      </w:r>
    </w:p>
    <w:p w:rsidR="00457C6B" w:rsidRDefault="00457C6B"/>
    <w:p w:rsidR="00457C6B" w:rsidRDefault="0047703E">
      <w:pPr>
        <w:pStyle w:val="Titolo3"/>
      </w:pPr>
      <w:r>
        <w:t>Imposta di scopo</w:t>
      </w:r>
    </w:p>
    <w:p w:rsidR="00457C6B" w:rsidRDefault="0047703E">
      <w:pPr>
        <w:jc w:val="both"/>
        <w:rPr>
          <w:rFonts w:ascii="Arial" w:hAnsi="Arial" w:cs="Arial"/>
          <w:sz w:val="22"/>
          <w:szCs w:val="22"/>
        </w:rPr>
      </w:pPr>
      <w:r>
        <w:rPr>
          <w:rFonts w:ascii="Arial" w:hAnsi="Arial" w:cs="Arial"/>
          <w:sz w:val="22"/>
          <w:szCs w:val="22"/>
        </w:rPr>
        <w:t xml:space="preserve">Il Consiglio con regolamento deliberato con atto n. … del … ha istituito, ai sensi dei commi da 145 a 151 dell’art. 1, della Legge 296/2006 un’imposta di scopo nella misura dello </w:t>
      </w:r>
      <w:proofErr w:type="spellStart"/>
      <w:r>
        <w:rPr>
          <w:rFonts w:ascii="Arial" w:hAnsi="Arial" w:cs="Arial"/>
          <w:sz w:val="22"/>
          <w:szCs w:val="22"/>
        </w:rPr>
        <w:t>……</w:t>
      </w:r>
      <w:proofErr w:type="spellEnd"/>
      <w:r>
        <w:rPr>
          <w:rFonts w:ascii="Arial" w:hAnsi="Arial" w:cs="Arial"/>
          <w:sz w:val="22"/>
          <w:szCs w:val="22"/>
        </w:rPr>
        <w:t xml:space="preserve"> per mille </w:t>
      </w:r>
      <w:r>
        <w:rPr>
          <w:rFonts w:ascii="Arial" w:hAnsi="Arial" w:cs="Arial"/>
          <w:i/>
          <w:color w:val="0000FF"/>
          <w:sz w:val="20"/>
          <w:szCs w:val="20"/>
        </w:rPr>
        <w:t>(massimo 0,5 per mille</w:t>
      </w:r>
      <w:r>
        <w:rPr>
          <w:rFonts w:ascii="Arial" w:hAnsi="Arial" w:cs="Arial"/>
          <w:color w:val="0000FF"/>
          <w:sz w:val="20"/>
          <w:szCs w:val="20"/>
        </w:rPr>
        <w:t>)</w:t>
      </w:r>
      <w:r>
        <w:rPr>
          <w:rFonts w:ascii="Arial" w:hAnsi="Arial" w:cs="Arial"/>
          <w:sz w:val="22"/>
          <w:szCs w:val="22"/>
        </w:rPr>
        <w:t xml:space="preserve"> sulla base imponibile Ici, destinata esclusivamente </w:t>
      </w:r>
      <w:r>
        <w:rPr>
          <w:rFonts w:ascii="Arial" w:hAnsi="Arial" w:cs="Arial"/>
          <w:i/>
          <w:sz w:val="22"/>
          <w:szCs w:val="22"/>
        </w:rPr>
        <w:t>(</w:t>
      </w:r>
      <w:r>
        <w:rPr>
          <w:rFonts w:ascii="Arial" w:hAnsi="Arial" w:cs="Arial"/>
          <w:color w:val="0000FF"/>
          <w:sz w:val="20"/>
          <w:szCs w:val="20"/>
        </w:rPr>
        <w:t>specifica destinazione per legge</w:t>
      </w:r>
      <w:r>
        <w:rPr>
          <w:rFonts w:ascii="Arial" w:hAnsi="Arial" w:cs="Arial"/>
          <w:i/>
          <w:sz w:val="22"/>
          <w:szCs w:val="22"/>
        </w:rPr>
        <w:t>)</w:t>
      </w:r>
      <w:r>
        <w:rPr>
          <w:rFonts w:ascii="Arial" w:hAnsi="Arial" w:cs="Arial"/>
          <w:sz w:val="22"/>
          <w:szCs w:val="22"/>
        </w:rPr>
        <w:t xml:space="preserve"> alla parziale copertura </w:t>
      </w:r>
      <w:r>
        <w:rPr>
          <w:rFonts w:ascii="Arial" w:hAnsi="Arial" w:cs="Arial"/>
          <w:color w:val="0000FF"/>
          <w:sz w:val="22"/>
          <w:szCs w:val="22"/>
        </w:rPr>
        <w:t>(</w:t>
      </w:r>
      <w:r>
        <w:rPr>
          <w:rFonts w:ascii="Arial" w:hAnsi="Arial" w:cs="Arial"/>
          <w:i/>
          <w:color w:val="0000FF"/>
          <w:sz w:val="20"/>
          <w:szCs w:val="20"/>
        </w:rPr>
        <w:t>massimo 30% della spesa)</w:t>
      </w:r>
      <w:r>
        <w:rPr>
          <w:rFonts w:ascii="Arial" w:hAnsi="Arial" w:cs="Arial"/>
          <w:sz w:val="22"/>
          <w:szCs w:val="22"/>
        </w:rPr>
        <w:t xml:space="preserve"> della seguente opera pubblica:</w:t>
      </w:r>
    </w:p>
    <w:p w:rsidR="00457C6B" w:rsidRDefault="00457C6B">
      <w:pPr>
        <w:jc w:val="both"/>
        <w:rPr>
          <w:rFonts w:ascii="Arial" w:hAnsi="Arial" w:cs="Arial"/>
          <w:sz w:val="20"/>
        </w:rPr>
      </w:pPr>
    </w:p>
    <w:p w:rsidR="00457C6B" w:rsidRDefault="0047703E">
      <w:pPr>
        <w:jc w:val="both"/>
        <w:rPr>
          <w:rFonts w:ascii="Arial" w:hAnsi="Arial" w:cs="Arial"/>
          <w:color w:val="0000FF"/>
          <w:sz w:val="20"/>
        </w:rPr>
      </w:pPr>
      <w:r>
        <w:rPr>
          <w:rFonts w:ascii="Arial" w:hAnsi="Arial" w:cs="Arial"/>
          <w:color w:val="0000FF"/>
          <w:sz w:val="20"/>
        </w:rPr>
        <w:t>(specificare quale delle seguenti opere previste dalla legge)</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per il trasporto pubblico urbano</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viarie, con l’esclusione della manutenzione ordinaria e straordinaria delle opere esistenti</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particolarmente significative di arredo urbano e di maggior decoro dei luoghi</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di risistemazione di aree dedicate a parchi e giardini</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di realizzazione di parcheggi pubblici</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di restauro</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di conservazione di beni artistici ed architettonici</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t>-opere relative a nuovi spazi per eventi e attività culturali, allestimenti mussali e biblioteche</w:t>
      </w:r>
    </w:p>
    <w:p w:rsidR="00457C6B" w:rsidRDefault="0047703E">
      <w:pPr>
        <w:numPr>
          <w:ilvl w:val="0"/>
          <w:numId w:val="11"/>
        </w:numPr>
        <w:tabs>
          <w:tab w:val="clear" w:pos="1068"/>
          <w:tab w:val="num" w:pos="426"/>
        </w:tabs>
        <w:spacing w:before="120"/>
        <w:ind w:left="426"/>
        <w:jc w:val="both"/>
        <w:rPr>
          <w:rFonts w:ascii="Arial" w:hAnsi="Arial" w:cs="Arial"/>
          <w:sz w:val="22"/>
        </w:rPr>
      </w:pPr>
      <w:r>
        <w:rPr>
          <w:rFonts w:ascii="Arial" w:hAnsi="Arial" w:cs="Arial"/>
          <w:sz w:val="22"/>
        </w:rPr>
        <w:lastRenderedPageBreak/>
        <w:t>opere di realizzazione e manutenzione straordinaria dell’edilizia scolastica.</w:t>
      </w:r>
    </w:p>
    <w:p w:rsidR="00457C6B" w:rsidRDefault="00457C6B">
      <w:pPr>
        <w:jc w:val="both"/>
        <w:rPr>
          <w:rFonts w:ascii="Arial" w:hAnsi="Arial" w:cs="Arial"/>
          <w:i/>
          <w:sz w:val="18"/>
        </w:rPr>
      </w:pPr>
    </w:p>
    <w:p w:rsidR="00457C6B" w:rsidRDefault="0047703E">
      <w:pPr>
        <w:jc w:val="both"/>
        <w:rPr>
          <w:rFonts w:ascii="Arial" w:hAnsi="Arial" w:cs="Arial"/>
          <w:color w:val="0000FF"/>
          <w:sz w:val="20"/>
          <w:szCs w:val="20"/>
        </w:rPr>
      </w:pPr>
      <w:r>
        <w:rPr>
          <w:rFonts w:ascii="Arial" w:hAnsi="Arial" w:cs="Arial"/>
          <w:color w:val="0000FF"/>
          <w:sz w:val="20"/>
          <w:szCs w:val="20"/>
        </w:rPr>
        <w:t>(Nel caso di mancato inizio dell’opera finanziata entro due anni dalla data prevista dal progetto esecutivo l’imposta deve essere restituita ai contribuenti entro i due anni successivi.</w:t>
      </w:r>
    </w:p>
    <w:p w:rsidR="00457C6B" w:rsidRDefault="0047703E">
      <w:pPr>
        <w:jc w:val="both"/>
        <w:rPr>
          <w:rFonts w:ascii="Arial" w:hAnsi="Arial" w:cs="Arial"/>
          <w:color w:val="0000FF"/>
          <w:sz w:val="20"/>
          <w:szCs w:val="20"/>
        </w:rPr>
      </w:pPr>
      <w:r>
        <w:rPr>
          <w:rFonts w:ascii="Arial" w:hAnsi="Arial" w:cs="Arial"/>
          <w:color w:val="0000FF"/>
          <w:sz w:val="20"/>
          <w:szCs w:val="20"/>
        </w:rPr>
        <w:t>L’imposta di scopo deve essere rilevata al titolo I delle entrate e deve essere integralmente destinata al finanziamento dell’opera individuata nel titolo II della spesa.)</w:t>
      </w:r>
    </w:p>
    <w:p w:rsidR="00457C6B" w:rsidRDefault="00457C6B">
      <w:pPr>
        <w:jc w:val="both"/>
        <w:rPr>
          <w:rFonts w:ascii="Arial" w:hAnsi="Arial" w:cs="Arial"/>
          <w:sz w:val="18"/>
        </w:rPr>
      </w:pPr>
    </w:p>
    <w:p w:rsidR="00457C6B" w:rsidRDefault="00457C6B">
      <w:pPr>
        <w:jc w:val="both"/>
        <w:rPr>
          <w:rFonts w:ascii="Arial" w:hAnsi="Arial" w:cs="Arial"/>
          <w:sz w:val="16"/>
        </w:rPr>
      </w:pPr>
    </w:p>
    <w:p w:rsidR="00457C6B" w:rsidRDefault="0047703E">
      <w:pPr>
        <w:pStyle w:val="Titolo3"/>
      </w:pPr>
      <w:r>
        <w:t>Imposta di soggiorno</w:t>
      </w:r>
    </w:p>
    <w:p w:rsidR="00457C6B" w:rsidRDefault="0047703E">
      <w:pPr>
        <w:numPr>
          <w:ilvl w:val="12"/>
          <w:numId w:val="0"/>
        </w:numPr>
        <w:jc w:val="both"/>
        <w:rPr>
          <w:rFonts w:ascii="Arial" w:hAnsi="Arial" w:cs="Arial"/>
          <w:sz w:val="22"/>
          <w:szCs w:val="22"/>
        </w:rPr>
      </w:pPr>
      <w:r>
        <w:rPr>
          <w:rFonts w:ascii="Arial" w:hAnsi="Arial" w:cs="Arial"/>
          <w:sz w:val="22"/>
          <w:szCs w:val="22"/>
        </w:rPr>
        <w:t>Il Comune (</w:t>
      </w:r>
      <w:r>
        <w:rPr>
          <w:rFonts w:ascii="Arial" w:hAnsi="Arial" w:cs="Arial"/>
          <w:color w:val="0000FF"/>
          <w:sz w:val="20"/>
          <w:szCs w:val="20"/>
        </w:rPr>
        <w:t>capoluogo di provincia o incluso nell’elenco regionale delle località turistiche</w:t>
      </w:r>
      <w:r>
        <w:rPr>
          <w:rFonts w:ascii="Arial" w:hAnsi="Arial" w:cs="Arial"/>
          <w:color w:val="0000FF"/>
          <w:sz w:val="22"/>
          <w:szCs w:val="22"/>
        </w:rPr>
        <w:t xml:space="preserve"> </w:t>
      </w:r>
      <w:r>
        <w:rPr>
          <w:rFonts w:ascii="Arial" w:hAnsi="Arial" w:cs="Arial"/>
          <w:color w:val="0000FF"/>
          <w:sz w:val="20"/>
          <w:szCs w:val="20"/>
        </w:rPr>
        <w:t>o d’arte</w:t>
      </w:r>
      <w:r>
        <w:rPr>
          <w:rFonts w:ascii="Arial" w:hAnsi="Arial" w:cs="Arial"/>
          <w:sz w:val="22"/>
          <w:szCs w:val="22"/>
        </w:rPr>
        <w:t xml:space="preserve">), ai sensi dell’art.4 del </w:t>
      </w:r>
      <w:proofErr w:type="spellStart"/>
      <w:r>
        <w:rPr>
          <w:rFonts w:ascii="Arial" w:hAnsi="Arial" w:cs="Arial"/>
          <w:sz w:val="22"/>
          <w:szCs w:val="22"/>
        </w:rPr>
        <w:t>D.Lgs.</w:t>
      </w:r>
      <w:proofErr w:type="spellEnd"/>
      <w:r>
        <w:rPr>
          <w:rFonts w:ascii="Arial" w:hAnsi="Arial" w:cs="Arial"/>
          <w:sz w:val="22"/>
          <w:szCs w:val="22"/>
        </w:rPr>
        <w:t xml:space="preserve"> 23/2011, ha istituito con delibera Cons. n. del </w:t>
      </w:r>
      <w:proofErr w:type="spellStart"/>
      <w:r>
        <w:rPr>
          <w:rFonts w:ascii="Arial" w:hAnsi="Arial" w:cs="Arial"/>
          <w:sz w:val="22"/>
          <w:szCs w:val="22"/>
        </w:rPr>
        <w:t>……</w:t>
      </w:r>
      <w:proofErr w:type="spellEnd"/>
      <w:r>
        <w:rPr>
          <w:rFonts w:ascii="Arial" w:hAnsi="Arial" w:cs="Arial"/>
          <w:sz w:val="22"/>
          <w:szCs w:val="22"/>
        </w:rPr>
        <w:t xml:space="preserve"> una imposta di soggiorno di euro … per notte di soggiorno. L’ente ha provveduto a regolamentare ai sensi dell’art.52 del </w:t>
      </w:r>
      <w:proofErr w:type="spellStart"/>
      <w:r>
        <w:rPr>
          <w:rFonts w:ascii="Arial" w:hAnsi="Arial" w:cs="Arial"/>
          <w:sz w:val="22"/>
          <w:szCs w:val="22"/>
        </w:rPr>
        <w:t>D.Lgs.</w:t>
      </w:r>
      <w:proofErr w:type="spellEnd"/>
      <w:r>
        <w:rPr>
          <w:rFonts w:ascii="Arial" w:hAnsi="Arial" w:cs="Arial"/>
          <w:sz w:val="22"/>
          <w:szCs w:val="22"/>
        </w:rPr>
        <w:t xml:space="preserve"> 446/1997 il tributo con atto </w:t>
      </w:r>
      <w:proofErr w:type="spellStart"/>
      <w:r>
        <w:rPr>
          <w:rFonts w:ascii="Arial" w:hAnsi="Arial" w:cs="Arial"/>
          <w:sz w:val="22"/>
          <w:szCs w:val="22"/>
        </w:rPr>
        <w:t>……</w:t>
      </w:r>
      <w:proofErr w:type="spellEnd"/>
      <w:r>
        <w:rPr>
          <w:rFonts w:ascii="Arial" w:hAnsi="Arial" w:cs="Arial"/>
          <w:sz w:val="22"/>
          <w:szCs w:val="22"/>
        </w:rPr>
        <w:t xml:space="preserve">. del </w:t>
      </w:r>
      <w:proofErr w:type="spellStart"/>
      <w:r>
        <w:rPr>
          <w:rFonts w:ascii="Arial" w:hAnsi="Arial" w:cs="Arial"/>
          <w:sz w:val="22"/>
          <w:szCs w:val="22"/>
        </w:rPr>
        <w:t>………</w:t>
      </w:r>
      <w:proofErr w:type="spellEnd"/>
    </w:p>
    <w:p w:rsidR="00457C6B" w:rsidRDefault="0047703E">
      <w:pPr>
        <w:numPr>
          <w:ilvl w:val="12"/>
          <w:numId w:val="0"/>
        </w:numPr>
        <w:jc w:val="both"/>
        <w:rPr>
          <w:rFonts w:ascii="Arial" w:hAnsi="Arial" w:cs="Arial"/>
          <w:sz w:val="22"/>
          <w:szCs w:val="22"/>
        </w:rPr>
      </w:pPr>
      <w:r>
        <w:rPr>
          <w:rFonts w:ascii="Arial" w:hAnsi="Arial" w:cs="Arial"/>
          <w:sz w:val="22"/>
          <w:szCs w:val="22"/>
        </w:rPr>
        <w:t xml:space="preserve">La previsione per l’anno 2015 è fondata sui seguenti elementi </w:t>
      </w:r>
      <w:proofErr w:type="spellStart"/>
      <w:r>
        <w:rPr>
          <w:rFonts w:ascii="Arial" w:hAnsi="Arial" w:cs="Arial"/>
          <w:sz w:val="22"/>
          <w:szCs w:val="22"/>
        </w:rPr>
        <w:t>…………………</w:t>
      </w:r>
      <w:proofErr w:type="spellEnd"/>
    </w:p>
    <w:p w:rsidR="00457C6B" w:rsidRDefault="0047703E">
      <w:pPr>
        <w:numPr>
          <w:ilvl w:val="12"/>
          <w:numId w:val="0"/>
        </w:numPr>
        <w:jc w:val="both"/>
        <w:rPr>
          <w:rFonts w:ascii="Arial" w:hAnsi="Arial" w:cs="Arial"/>
          <w:i/>
          <w:color w:val="0000FF"/>
          <w:sz w:val="20"/>
          <w:szCs w:val="20"/>
        </w:rPr>
      </w:pPr>
      <w:r>
        <w:rPr>
          <w:rFonts w:ascii="Arial" w:hAnsi="Arial" w:cs="Arial"/>
          <w:sz w:val="22"/>
          <w:szCs w:val="22"/>
        </w:rPr>
        <w:t xml:space="preserve">Il gettito è destinato a finanziare interventi in materia di turismo, manutenzione, fruizione e recupero beni culturali e ambientali locali e dei relativi servizi pubblici locali, come indicato nella relazione previsionale e programmatica </w:t>
      </w:r>
      <w:r>
        <w:rPr>
          <w:rFonts w:ascii="Arial" w:hAnsi="Arial" w:cs="Arial"/>
          <w:color w:val="0000FF"/>
          <w:sz w:val="20"/>
          <w:szCs w:val="20"/>
        </w:rPr>
        <w:t>(o in prospetto allegato al bilancio).</w:t>
      </w:r>
      <w:r>
        <w:rPr>
          <w:rFonts w:ascii="Arial" w:hAnsi="Arial" w:cs="Arial"/>
          <w:i/>
          <w:color w:val="0000FF"/>
          <w:sz w:val="20"/>
          <w:szCs w:val="20"/>
        </w:rPr>
        <w:t xml:space="preserve"> </w:t>
      </w:r>
    </w:p>
    <w:p w:rsidR="00457C6B" w:rsidRDefault="00457C6B">
      <w:pPr>
        <w:numPr>
          <w:ilvl w:val="12"/>
          <w:numId w:val="0"/>
        </w:numPr>
        <w:rPr>
          <w:rFonts w:ascii="Arial" w:hAnsi="Arial" w:cs="Arial"/>
          <w:i/>
          <w:color w:val="0000FF"/>
          <w:sz w:val="20"/>
          <w:szCs w:val="20"/>
        </w:rPr>
      </w:pPr>
    </w:p>
    <w:p w:rsidR="00457C6B" w:rsidRDefault="0047703E">
      <w:pPr>
        <w:pStyle w:val="Titolo3"/>
      </w:pPr>
      <w:r>
        <w:t xml:space="preserve">TARI </w:t>
      </w:r>
    </w:p>
    <w:p w:rsidR="00457C6B" w:rsidRDefault="0047703E">
      <w:pPr>
        <w:jc w:val="both"/>
        <w:rPr>
          <w:rFonts w:ascii="Arial" w:hAnsi="Arial" w:cs="Arial"/>
          <w:sz w:val="22"/>
          <w:szCs w:val="22"/>
        </w:rPr>
      </w:pPr>
      <w:r>
        <w:rPr>
          <w:rFonts w:ascii="Arial" w:hAnsi="Arial" w:cs="Arial"/>
          <w:sz w:val="22"/>
          <w:szCs w:val="22"/>
        </w:rPr>
        <w:t xml:space="preserve">L’ente ha previsto nel bilancio 2015, tra le entrate tributarie la somma di euro </w:t>
      </w:r>
      <w:proofErr w:type="spellStart"/>
      <w:r>
        <w:rPr>
          <w:rFonts w:ascii="Arial" w:hAnsi="Arial" w:cs="Arial"/>
          <w:sz w:val="22"/>
          <w:szCs w:val="22"/>
        </w:rPr>
        <w:t>………</w:t>
      </w:r>
      <w:proofErr w:type="spellEnd"/>
      <w:r>
        <w:rPr>
          <w:rFonts w:ascii="Arial" w:hAnsi="Arial" w:cs="Arial"/>
          <w:sz w:val="22"/>
          <w:szCs w:val="22"/>
        </w:rPr>
        <w:t>. per la tassa sui rifiuti istituita con i commi da 641 a 668 dell’art.1 della legge 147/2013 (legge di stabilità 2015).</w:t>
      </w:r>
    </w:p>
    <w:p w:rsidR="00457C6B" w:rsidRDefault="0047703E">
      <w:pPr>
        <w:jc w:val="both"/>
        <w:rPr>
          <w:rFonts w:ascii="Arial" w:hAnsi="Arial" w:cs="Arial"/>
          <w:sz w:val="22"/>
          <w:szCs w:val="22"/>
        </w:rPr>
      </w:pPr>
      <w:r>
        <w:rPr>
          <w:rFonts w:ascii="Arial" w:hAnsi="Arial" w:cs="Arial"/>
          <w:sz w:val="22"/>
          <w:szCs w:val="22"/>
        </w:rPr>
        <w:t>La previsione comprende il tributo provinciale nella misura deliberata dalla provincia ai sensi del comma 666  dell’art. 1 della legge 147/2013.</w:t>
      </w:r>
    </w:p>
    <w:p w:rsidR="00457C6B" w:rsidRDefault="0047703E">
      <w:pPr>
        <w:jc w:val="both"/>
        <w:rPr>
          <w:rFonts w:ascii="Arial" w:hAnsi="Arial" w:cs="Arial"/>
          <w:sz w:val="22"/>
          <w:szCs w:val="22"/>
        </w:rPr>
      </w:pPr>
      <w:r>
        <w:rPr>
          <w:rFonts w:ascii="Arial" w:hAnsi="Arial" w:cs="Arial"/>
          <w:sz w:val="22"/>
          <w:szCs w:val="22"/>
        </w:rPr>
        <w:t xml:space="preserve">La tariffa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rsidR="00457C6B" w:rsidRDefault="0047703E">
      <w:pPr>
        <w:tabs>
          <w:tab w:val="left" w:pos="708"/>
        </w:tabs>
        <w:jc w:val="both"/>
        <w:rPr>
          <w:rFonts w:ascii="Arial" w:hAnsi="Arial" w:cs="Arial"/>
          <w:bCs/>
          <w:sz w:val="22"/>
          <w:szCs w:val="22"/>
        </w:rPr>
      </w:pPr>
      <w:r>
        <w:rPr>
          <w:rFonts w:ascii="Arial" w:hAnsi="Arial" w:cs="Arial"/>
          <w:bCs/>
          <w:sz w:val="22"/>
          <w:szCs w:val="22"/>
        </w:rPr>
        <w:t xml:space="preserve">La disciplina dell´applicazione del tributo è stata </w:t>
      </w:r>
      <w:r>
        <w:rPr>
          <w:rFonts w:ascii="Arial" w:hAnsi="Arial" w:cs="Arial"/>
          <w:bCs/>
          <w:sz w:val="18"/>
          <w:szCs w:val="18"/>
        </w:rPr>
        <w:t>(</w:t>
      </w:r>
      <w:r>
        <w:rPr>
          <w:rFonts w:ascii="Arial" w:hAnsi="Arial" w:cs="Arial"/>
          <w:bCs/>
          <w:color w:val="0000FF"/>
          <w:sz w:val="20"/>
          <w:szCs w:val="18"/>
        </w:rPr>
        <w:t>o sarà</w:t>
      </w:r>
      <w:r>
        <w:rPr>
          <w:rFonts w:ascii="Arial" w:hAnsi="Arial" w:cs="Arial"/>
          <w:bCs/>
          <w:color w:val="0000FF"/>
          <w:sz w:val="18"/>
          <w:szCs w:val="18"/>
        </w:rPr>
        <w:t>)</w:t>
      </w:r>
      <w:r>
        <w:rPr>
          <w:rFonts w:ascii="Arial" w:hAnsi="Arial" w:cs="Arial"/>
          <w:bCs/>
          <w:sz w:val="22"/>
          <w:szCs w:val="22"/>
        </w:rPr>
        <w:t xml:space="preserve"> approvata con regolamento dal Consiglio comunale.  </w:t>
      </w:r>
    </w:p>
    <w:p w:rsidR="00457C6B" w:rsidRDefault="0047703E">
      <w:pPr>
        <w:jc w:val="both"/>
        <w:rPr>
          <w:rFonts w:ascii="Arial" w:hAnsi="Arial" w:cs="Arial"/>
          <w:bCs/>
          <w:color w:val="0000FF"/>
          <w:sz w:val="20"/>
          <w:szCs w:val="20"/>
        </w:rPr>
      </w:pPr>
      <w:r>
        <w:rPr>
          <w:rFonts w:ascii="Arial" w:hAnsi="Arial" w:cs="Arial"/>
          <w:bCs/>
          <w:sz w:val="22"/>
          <w:szCs w:val="22"/>
        </w:rPr>
        <w:t xml:space="preserve">Il Consiglio Comunale ha approvato le tariffe </w:t>
      </w:r>
      <w:r>
        <w:rPr>
          <w:rFonts w:ascii="Arial" w:hAnsi="Arial" w:cs="Arial"/>
          <w:bCs/>
          <w:color w:val="0000FF"/>
          <w:sz w:val="20"/>
          <w:szCs w:val="20"/>
        </w:rPr>
        <w:t>(o le approverà entro il termine fissato per l´approvazione del bilancio di previsione).</w:t>
      </w:r>
    </w:p>
    <w:p w:rsidR="00457C6B" w:rsidRDefault="00457C6B">
      <w:pPr>
        <w:jc w:val="both"/>
        <w:rPr>
          <w:rFonts w:ascii="Arial" w:hAnsi="Arial" w:cs="Arial"/>
          <w:b/>
          <w:bCs/>
          <w:color w:val="0070C0"/>
          <w:sz w:val="22"/>
          <w:szCs w:val="22"/>
        </w:rPr>
      </w:pPr>
    </w:p>
    <w:p w:rsidR="00457C6B" w:rsidRDefault="00457C6B">
      <w:pPr>
        <w:jc w:val="both"/>
        <w:rPr>
          <w:rFonts w:ascii="Arial" w:hAnsi="Arial" w:cs="Arial"/>
          <w:b/>
          <w:bCs/>
          <w:sz w:val="22"/>
          <w:szCs w:val="22"/>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2"/>
          <w:szCs w:val="22"/>
        </w:rPr>
      </w:pPr>
      <w:r>
        <w:rPr>
          <w:rFonts w:ascii="Arial" w:hAnsi="Arial" w:cs="Arial"/>
          <w:i/>
          <w:color w:val="0000FF"/>
          <w:sz w:val="22"/>
          <w:szCs w:val="22"/>
        </w:rPr>
        <w:t>oppure</w:t>
      </w:r>
      <w:r>
        <w:rPr>
          <w:rFonts w:ascii="Arial" w:hAnsi="Arial" w:cs="Arial"/>
          <w:color w:val="0000FF"/>
          <w:sz w:val="22"/>
          <w:szCs w:val="22"/>
        </w:rPr>
        <w:t>:</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2"/>
          <w:szCs w:val="22"/>
        </w:rPr>
      </w:pPr>
      <w:r>
        <w:rPr>
          <w:rFonts w:ascii="Arial" w:hAnsi="Arial" w:cs="Arial"/>
          <w:sz w:val="22"/>
          <w:szCs w:val="22"/>
        </w:rPr>
        <w:t>l’ente avendo realizzato sistemi di misurazione puntuale della quantità dei rifiuti conferiti ha approvato con apposito regolamento l’applicazione di una tariffa avente natura corrispettiva ai sensi del comma 668 dell’art. della legge 147/2013.</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2"/>
          <w:szCs w:val="22"/>
        </w:rPr>
      </w:pPr>
      <w:r>
        <w:rPr>
          <w:rFonts w:ascii="Arial" w:hAnsi="Arial" w:cs="Arial"/>
          <w:sz w:val="22"/>
          <w:szCs w:val="22"/>
        </w:rPr>
        <w:t>La somma relativa è prevista al titolo III delle entrate.</w:t>
      </w: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i/>
          <w:color w:val="0000FF"/>
          <w:sz w:val="22"/>
          <w:szCs w:val="22"/>
        </w:rPr>
      </w:pPr>
      <w:r>
        <w:rPr>
          <w:rFonts w:ascii="Arial" w:hAnsi="Arial" w:cs="Arial"/>
          <w:i/>
          <w:color w:val="0000FF"/>
          <w:sz w:val="22"/>
          <w:szCs w:val="22"/>
        </w:rPr>
        <w:t>oppure:</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2"/>
          <w:szCs w:val="22"/>
        </w:rPr>
      </w:pPr>
      <w:r>
        <w:rPr>
          <w:rFonts w:ascii="Arial" w:hAnsi="Arial" w:cs="Arial"/>
          <w:sz w:val="22"/>
          <w:szCs w:val="22"/>
        </w:rPr>
        <w:t>l’ente avendo realizzato sistemi di misurazione puntuale della quantità dei rifiuti conferiti ha approvato con apposito regolamento l’applicazione di una tariffa avente natura corrispettiva ai sensi del comma 668 dell’art. della legge 147/2013.</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2"/>
          <w:szCs w:val="22"/>
        </w:rPr>
      </w:pPr>
      <w:r>
        <w:rPr>
          <w:rFonts w:ascii="Arial" w:hAnsi="Arial" w:cs="Arial"/>
          <w:sz w:val="22"/>
          <w:szCs w:val="22"/>
        </w:rPr>
        <w:t>I corrispettivi sono riscossi dal soggetto affidatario del servizio.</w:t>
      </w:r>
    </w:p>
    <w:p w:rsidR="00457C6B" w:rsidRDefault="00457C6B">
      <w:pPr>
        <w:jc w:val="both"/>
        <w:rPr>
          <w:rFonts w:ascii="Arial" w:hAnsi="Arial" w:cs="Arial"/>
          <w:sz w:val="20"/>
          <w:szCs w:val="20"/>
        </w:rPr>
      </w:pPr>
    </w:p>
    <w:p w:rsidR="00457C6B" w:rsidRDefault="0047703E">
      <w:pPr>
        <w:jc w:val="both"/>
        <w:rPr>
          <w:rFonts w:ascii="Arial" w:hAnsi="Arial" w:cs="Arial"/>
          <w:color w:val="0000FF"/>
          <w:sz w:val="20"/>
          <w:szCs w:val="20"/>
        </w:rPr>
      </w:pPr>
      <w:r>
        <w:rPr>
          <w:rFonts w:ascii="Arial" w:hAnsi="Arial" w:cs="Arial"/>
          <w:color w:val="0000FF"/>
          <w:sz w:val="20"/>
          <w:szCs w:val="20"/>
        </w:rPr>
        <w:t xml:space="preserve">(Il comma 668 dell’art. 1 della L. 147/2013  consente per i comuni che hanno realizzato sistemi di misurazione puntuale della quantità di rifiuti, di regolamentare una tariffa con natura di corrispettivo. Se il servizio non è gestito dall’ente i corrispettivi sono riscossi  dall’affidatario del servizio di gestione dei rifiuti). </w:t>
      </w:r>
    </w:p>
    <w:p w:rsidR="00457C6B" w:rsidRDefault="00457C6B">
      <w:pPr>
        <w:rPr>
          <w:rFonts w:ascii="Arial" w:hAnsi="Arial" w:cs="Arial"/>
          <w:sz w:val="20"/>
          <w:szCs w:val="20"/>
        </w:rPr>
      </w:pPr>
    </w:p>
    <w:p w:rsidR="00457C6B" w:rsidRDefault="00457C6B">
      <w:pPr>
        <w:rPr>
          <w:rFonts w:ascii="Arial" w:hAnsi="Arial" w:cs="Arial"/>
          <w:sz w:val="20"/>
        </w:rPr>
      </w:pPr>
    </w:p>
    <w:p w:rsidR="00457C6B" w:rsidRDefault="0047703E">
      <w:pPr>
        <w:pStyle w:val="Titolo3"/>
      </w:pPr>
      <w:r>
        <w:t xml:space="preserve">TASI </w:t>
      </w:r>
    </w:p>
    <w:p w:rsidR="00457C6B" w:rsidRDefault="0047703E">
      <w:pPr>
        <w:jc w:val="both"/>
        <w:rPr>
          <w:rFonts w:ascii="Arial" w:hAnsi="Arial" w:cs="Arial"/>
          <w:sz w:val="22"/>
          <w:szCs w:val="22"/>
        </w:rPr>
      </w:pPr>
      <w:r>
        <w:rPr>
          <w:rFonts w:ascii="Arial" w:hAnsi="Arial" w:cs="Arial"/>
          <w:sz w:val="22"/>
          <w:szCs w:val="22"/>
        </w:rPr>
        <w:t xml:space="preserve">L’ente ha previsto nel bilancio 2015, tra le entrate tributarie la somma di euro </w:t>
      </w:r>
      <w:proofErr w:type="spellStart"/>
      <w:r>
        <w:rPr>
          <w:rFonts w:ascii="Arial" w:hAnsi="Arial" w:cs="Arial"/>
          <w:sz w:val="22"/>
          <w:szCs w:val="22"/>
        </w:rPr>
        <w:t>………</w:t>
      </w:r>
      <w:proofErr w:type="spellEnd"/>
      <w:r>
        <w:rPr>
          <w:rFonts w:ascii="Arial" w:hAnsi="Arial" w:cs="Arial"/>
          <w:sz w:val="22"/>
          <w:szCs w:val="22"/>
        </w:rPr>
        <w:t>. per il tributo sui servizi indivisibili (TASI) istituito con i commi da 669 a 681 dell’art.1 della legge 147/2013.</w:t>
      </w:r>
    </w:p>
    <w:p w:rsidR="00457C6B" w:rsidRDefault="0047703E">
      <w:pPr>
        <w:tabs>
          <w:tab w:val="left" w:pos="708"/>
        </w:tabs>
        <w:jc w:val="both"/>
        <w:rPr>
          <w:rFonts w:ascii="Arial" w:hAnsi="Arial" w:cs="Arial"/>
          <w:bCs/>
          <w:sz w:val="22"/>
          <w:szCs w:val="22"/>
        </w:rPr>
      </w:pPr>
      <w:r>
        <w:rPr>
          <w:rFonts w:ascii="Arial" w:hAnsi="Arial" w:cs="Arial"/>
          <w:bCs/>
          <w:sz w:val="22"/>
          <w:szCs w:val="22"/>
        </w:rPr>
        <w:t xml:space="preserve">La disciplina dell´applicazione del tributo è stata </w:t>
      </w:r>
      <w:r>
        <w:rPr>
          <w:rFonts w:ascii="Arial" w:hAnsi="Arial" w:cs="Arial"/>
          <w:bCs/>
          <w:sz w:val="18"/>
          <w:szCs w:val="18"/>
        </w:rPr>
        <w:t>(</w:t>
      </w:r>
      <w:r>
        <w:rPr>
          <w:rFonts w:ascii="Arial" w:hAnsi="Arial" w:cs="Arial"/>
          <w:bCs/>
          <w:color w:val="0000FF"/>
          <w:sz w:val="20"/>
          <w:szCs w:val="18"/>
        </w:rPr>
        <w:t>o sarà</w:t>
      </w:r>
      <w:r>
        <w:rPr>
          <w:rFonts w:ascii="Arial" w:hAnsi="Arial" w:cs="Arial"/>
          <w:bCs/>
          <w:sz w:val="18"/>
          <w:szCs w:val="18"/>
        </w:rPr>
        <w:t>)</w:t>
      </w:r>
      <w:r>
        <w:rPr>
          <w:rFonts w:ascii="Arial" w:hAnsi="Arial" w:cs="Arial"/>
          <w:bCs/>
          <w:sz w:val="22"/>
          <w:szCs w:val="22"/>
        </w:rPr>
        <w:t xml:space="preserve"> approvata con regolamento dal Consiglio comunale.  </w:t>
      </w:r>
    </w:p>
    <w:p w:rsidR="00457C6B" w:rsidRDefault="0047703E">
      <w:pPr>
        <w:tabs>
          <w:tab w:val="left" w:pos="708"/>
        </w:tabs>
        <w:jc w:val="both"/>
        <w:rPr>
          <w:rFonts w:ascii="Arial" w:hAnsi="Arial" w:cs="Arial"/>
          <w:bCs/>
          <w:color w:val="7030A0"/>
          <w:sz w:val="20"/>
          <w:szCs w:val="20"/>
        </w:rPr>
      </w:pPr>
      <w:r>
        <w:rPr>
          <w:rFonts w:ascii="Arial" w:hAnsi="Arial" w:cs="Arial"/>
          <w:bCs/>
          <w:color w:val="7030A0"/>
          <w:sz w:val="20"/>
          <w:szCs w:val="20"/>
        </w:rPr>
        <w:lastRenderedPageBreak/>
        <w:t xml:space="preserve">(Il comma 679 dell’art.1 della legge 190/2014, conferma per il 2015 il livello massimo di imposizione del 2,5 per mille. Viene inoltre confermata la possibilità di superare i limiti di legge relativi all’aliquota massima </w:t>
      </w:r>
      <w:proofErr w:type="spellStart"/>
      <w:r>
        <w:rPr>
          <w:rFonts w:ascii="Arial" w:hAnsi="Arial" w:cs="Arial"/>
          <w:bCs/>
          <w:color w:val="7030A0"/>
          <w:sz w:val="20"/>
          <w:szCs w:val="20"/>
        </w:rPr>
        <w:t>Tasi</w:t>
      </w:r>
      <w:proofErr w:type="spellEnd"/>
      <w:r>
        <w:rPr>
          <w:rFonts w:ascii="Arial" w:hAnsi="Arial" w:cs="Arial"/>
          <w:bCs/>
          <w:color w:val="7030A0"/>
          <w:sz w:val="20"/>
          <w:szCs w:val="20"/>
        </w:rPr>
        <w:t xml:space="preserve"> ed alle aliquote massime </w:t>
      </w:r>
      <w:proofErr w:type="spellStart"/>
      <w:r>
        <w:rPr>
          <w:rFonts w:ascii="Arial" w:hAnsi="Arial" w:cs="Arial"/>
          <w:bCs/>
          <w:color w:val="7030A0"/>
          <w:sz w:val="20"/>
          <w:szCs w:val="20"/>
        </w:rPr>
        <w:t>Tasi</w:t>
      </w:r>
      <w:proofErr w:type="spellEnd"/>
      <w:r>
        <w:rPr>
          <w:rFonts w:ascii="Arial" w:hAnsi="Arial" w:cs="Arial"/>
          <w:bCs/>
          <w:color w:val="7030A0"/>
          <w:sz w:val="20"/>
          <w:szCs w:val="20"/>
        </w:rPr>
        <w:t xml:space="preserve"> e </w:t>
      </w:r>
      <w:proofErr w:type="spellStart"/>
      <w:r>
        <w:rPr>
          <w:rFonts w:ascii="Arial" w:hAnsi="Arial" w:cs="Arial"/>
          <w:bCs/>
          <w:color w:val="7030A0"/>
          <w:sz w:val="20"/>
          <w:szCs w:val="20"/>
        </w:rPr>
        <w:t>Imu</w:t>
      </w:r>
      <w:proofErr w:type="spellEnd"/>
      <w:r>
        <w:rPr>
          <w:rFonts w:ascii="Arial" w:hAnsi="Arial" w:cs="Arial"/>
          <w:bCs/>
          <w:color w:val="7030A0"/>
          <w:sz w:val="20"/>
          <w:szCs w:val="20"/>
        </w:rPr>
        <w:t xml:space="preserve"> per gli “altri immobili”, per un ulteriore 0,8 per mille complessivo, ripartibile a discrezione del Comune tra abitazione principale ed altri immobili a condizione che siano finanziate detrazioni di imposta  o altre misure tali da generare effetti sul carico di imposta </w:t>
      </w:r>
      <w:proofErr w:type="spellStart"/>
      <w:r>
        <w:rPr>
          <w:rFonts w:ascii="Arial" w:hAnsi="Arial" w:cs="Arial"/>
          <w:bCs/>
          <w:color w:val="7030A0"/>
          <w:sz w:val="20"/>
          <w:szCs w:val="20"/>
        </w:rPr>
        <w:t>Tasi</w:t>
      </w:r>
      <w:proofErr w:type="spellEnd"/>
      <w:r>
        <w:rPr>
          <w:rFonts w:ascii="Arial" w:hAnsi="Arial" w:cs="Arial"/>
          <w:bCs/>
          <w:color w:val="7030A0"/>
          <w:sz w:val="20"/>
          <w:szCs w:val="20"/>
        </w:rPr>
        <w:t xml:space="preserve"> equivalenti o inferiori a quelli determinatisi con riferimento all’</w:t>
      </w:r>
      <w:proofErr w:type="spellStart"/>
      <w:r>
        <w:rPr>
          <w:rFonts w:ascii="Arial" w:hAnsi="Arial" w:cs="Arial"/>
          <w:bCs/>
          <w:color w:val="7030A0"/>
          <w:sz w:val="20"/>
          <w:szCs w:val="20"/>
        </w:rPr>
        <w:t>Imu</w:t>
      </w:r>
      <w:proofErr w:type="spellEnd"/>
      <w:r>
        <w:rPr>
          <w:rFonts w:ascii="Arial" w:hAnsi="Arial" w:cs="Arial"/>
          <w:bCs/>
          <w:color w:val="7030A0"/>
          <w:sz w:val="20"/>
          <w:szCs w:val="20"/>
        </w:rPr>
        <w:t xml:space="preserve"> relativamente alla stessa tipologia di immobili)</w:t>
      </w:r>
    </w:p>
    <w:p w:rsidR="00457C6B" w:rsidRDefault="00457C6B">
      <w:pPr>
        <w:tabs>
          <w:tab w:val="left" w:pos="708"/>
        </w:tabs>
        <w:jc w:val="both"/>
        <w:rPr>
          <w:rFonts w:ascii="Arial" w:hAnsi="Arial" w:cs="Arial"/>
          <w:bCs/>
          <w:sz w:val="22"/>
          <w:szCs w:val="22"/>
        </w:rPr>
      </w:pPr>
    </w:p>
    <w:p w:rsidR="00457C6B" w:rsidRDefault="0047703E">
      <w:pPr>
        <w:pStyle w:val="Titolo3"/>
      </w:pPr>
      <w:proofErr w:type="spellStart"/>
      <w:r>
        <w:t>T.O.S.A.P.</w:t>
      </w:r>
      <w:proofErr w:type="spellEnd"/>
      <w:r>
        <w:t xml:space="preserve"> (Tassa sull’occupazione di spazi ed aree pubbliche)</w:t>
      </w:r>
    </w:p>
    <w:p w:rsidR="00457C6B" w:rsidRDefault="0047703E">
      <w:pPr>
        <w:spacing w:after="120"/>
        <w:jc w:val="both"/>
        <w:rPr>
          <w:rFonts w:ascii="Arial" w:hAnsi="Arial" w:cs="Arial"/>
          <w:sz w:val="22"/>
          <w:szCs w:val="22"/>
        </w:rPr>
      </w:pPr>
      <w:r>
        <w:rPr>
          <w:rFonts w:ascii="Arial" w:hAnsi="Arial" w:cs="Arial"/>
          <w:sz w:val="22"/>
          <w:szCs w:val="22"/>
        </w:rPr>
        <w:t xml:space="preserve">Il gettito della tassa sull’occupazione di spazi e aree pubbliche è stato stimato in euro  </w:t>
      </w:r>
      <w:proofErr w:type="spellStart"/>
      <w:r>
        <w:rPr>
          <w:rFonts w:ascii="Arial" w:hAnsi="Arial" w:cs="Arial"/>
          <w:sz w:val="22"/>
          <w:szCs w:val="22"/>
        </w:rPr>
        <w:t>……</w:t>
      </w:r>
      <w:proofErr w:type="spellEnd"/>
      <w:r>
        <w:rPr>
          <w:rFonts w:ascii="Arial" w:hAnsi="Arial" w:cs="Arial"/>
          <w:sz w:val="22"/>
          <w:szCs w:val="22"/>
        </w:rPr>
        <w:t xml:space="preserve">.. tenendo conto di </w:t>
      </w:r>
      <w:proofErr w:type="spellStart"/>
      <w:r>
        <w:rPr>
          <w:rFonts w:ascii="Arial" w:hAnsi="Arial" w:cs="Arial"/>
          <w:sz w:val="22"/>
          <w:szCs w:val="22"/>
        </w:rPr>
        <w:t>………</w:t>
      </w:r>
      <w:proofErr w:type="spellEnd"/>
      <w:r>
        <w:rPr>
          <w:rFonts w:ascii="Arial" w:hAnsi="Arial" w:cs="Arial"/>
          <w:sz w:val="22"/>
          <w:szCs w:val="22"/>
        </w:rPr>
        <w:t>..</w:t>
      </w:r>
    </w:p>
    <w:p w:rsidR="00457C6B" w:rsidRDefault="0047703E">
      <w:pPr>
        <w:jc w:val="both"/>
        <w:rPr>
          <w:rFonts w:ascii="Arial" w:hAnsi="Arial" w:cs="Arial"/>
          <w:color w:val="0000FF"/>
          <w:sz w:val="20"/>
          <w:szCs w:val="20"/>
        </w:rPr>
      </w:pPr>
      <w:r>
        <w:rPr>
          <w:rFonts w:ascii="Arial" w:hAnsi="Arial" w:cs="Arial"/>
          <w:color w:val="0000FF"/>
          <w:sz w:val="20"/>
          <w:szCs w:val="20"/>
        </w:rPr>
        <w:t xml:space="preserve">(Nel caso in cui l’ente, avvalendosi della facoltà di cui all’articolo 63 del </w:t>
      </w:r>
      <w:proofErr w:type="spellStart"/>
      <w:r>
        <w:rPr>
          <w:rFonts w:ascii="Arial" w:hAnsi="Arial" w:cs="Arial"/>
          <w:color w:val="0000FF"/>
          <w:sz w:val="20"/>
          <w:szCs w:val="20"/>
        </w:rPr>
        <w:t>D.Lgs.</w:t>
      </w:r>
      <w:proofErr w:type="spellEnd"/>
      <w:r>
        <w:rPr>
          <w:rFonts w:ascii="Arial" w:hAnsi="Arial" w:cs="Arial"/>
          <w:color w:val="0000FF"/>
          <w:sz w:val="20"/>
          <w:szCs w:val="20"/>
        </w:rPr>
        <w:t xml:space="preserve"> n. 446/1997, abbia soppresso la TOSAP sostituendola col canone per l’occupazione di spazi ed aree pubbliche – COSAP- il gettito previsto deve essere iscritto al titolo III, categoria 2°)</w:t>
      </w:r>
    </w:p>
    <w:p w:rsidR="00457C6B" w:rsidRDefault="0047703E">
      <w:pPr>
        <w:numPr>
          <w:ilvl w:val="12"/>
          <w:numId w:val="0"/>
        </w:numPr>
        <w:rPr>
          <w:rFonts w:ascii="Arial" w:hAnsi="Arial" w:cs="Arial"/>
          <w:color w:val="0000FF"/>
          <w:sz w:val="20"/>
          <w:szCs w:val="20"/>
        </w:rPr>
      </w:pPr>
      <w:r>
        <w:rPr>
          <w:rFonts w:ascii="Arial" w:hAnsi="Arial" w:cs="Arial"/>
          <w:color w:val="0000FF"/>
          <w:sz w:val="20"/>
          <w:szCs w:val="20"/>
        </w:rPr>
        <w:t xml:space="preserve"> </w:t>
      </w:r>
    </w:p>
    <w:p w:rsidR="00457C6B" w:rsidRDefault="0047703E">
      <w:pPr>
        <w:pStyle w:val="Titolo3"/>
      </w:pPr>
      <w:r>
        <w:t>Proventi da partecipazione all’attività di accertamento tributario e contributivo</w:t>
      </w: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La previsione di euro </w:t>
      </w:r>
      <w:proofErr w:type="spellStart"/>
      <w:r>
        <w:rPr>
          <w:rFonts w:ascii="Arial" w:hAnsi="Arial" w:cs="Arial"/>
          <w:sz w:val="22"/>
          <w:szCs w:val="22"/>
        </w:rPr>
        <w:t>…………</w:t>
      </w:r>
      <w:proofErr w:type="spellEnd"/>
      <w:r>
        <w:rPr>
          <w:rFonts w:ascii="Arial" w:hAnsi="Arial" w:cs="Arial"/>
          <w:sz w:val="22"/>
          <w:szCs w:val="22"/>
        </w:rPr>
        <w:t xml:space="preserve"> è fondata sui seguenti elementi </w:t>
      </w:r>
      <w:proofErr w:type="spellStart"/>
      <w:r>
        <w:rPr>
          <w:rFonts w:ascii="Arial" w:hAnsi="Arial" w:cs="Arial"/>
          <w:sz w:val="22"/>
          <w:szCs w:val="22"/>
        </w:rPr>
        <w:t>………………</w:t>
      </w:r>
      <w:proofErr w:type="spellEnd"/>
      <w:r>
        <w:rPr>
          <w:rFonts w:ascii="Arial" w:hAnsi="Arial" w:cs="Arial"/>
          <w:sz w:val="22"/>
          <w:szCs w:val="22"/>
        </w:rPr>
        <w:t xml:space="preserve"> ed in merito si osserva </w:t>
      </w:r>
      <w:proofErr w:type="spellStart"/>
      <w:r>
        <w:rPr>
          <w:rFonts w:ascii="Arial" w:hAnsi="Arial" w:cs="Arial"/>
          <w:sz w:val="22"/>
          <w:szCs w:val="22"/>
        </w:rPr>
        <w:t>……………………………………</w:t>
      </w:r>
      <w:proofErr w:type="spellEnd"/>
    </w:p>
    <w:p w:rsidR="00457C6B" w:rsidRDefault="0047703E">
      <w:pPr>
        <w:numPr>
          <w:ilvl w:val="12"/>
          <w:numId w:val="0"/>
        </w:numPr>
        <w:jc w:val="both"/>
        <w:rPr>
          <w:rFonts w:ascii="Arial" w:hAnsi="Arial" w:cs="Arial"/>
          <w:color w:val="7030A0"/>
          <w:sz w:val="20"/>
          <w:szCs w:val="20"/>
        </w:rPr>
      </w:pPr>
      <w:r>
        <w:rPr>
          <w:rFonts w:ascii="Arial" w:hAnsi="Arial" w:cs="Arial"/>
          <w:color w:val="7030A0"/>
          <w:sz w:val="20"/>
          <w:szCs w:val="20"/>
        </w:rPr>
        <w:t>(Il comma 702 dell’art.1 della legge 190/2014 riduce per gli anni dal 2015 al 2017 al 55% la quota devoluta ai Comuni del maggior gettito riscosso a seguito dell’attività di accertamento dei tributi erariali. Con la legge 138/2011 la quota di compartecipazione era prevista nella misura del 100%)</w:t>
      </w:r>
    </w:p>
    <w:p w:rsidR="00457C6B" w:rsidRDefault="00457C6B">
      <w:pPr>
        <w:rPr>
          <w:rFonts w:ascii="Arial" w:hAnsi="Arial" w:cs="Arial"/>
          <w:b/>
          <w:sz w:val="20"/>
          <w:u w:val="single"/>
        </w:rPr>
      </w:pPr>
    </w:p>
    <w:p w:rsidR="00457C6B" w:rsidRDefault="0047703E">
      <w:pPr>
        <w:pStyle w:val="Sottotitolo"/>
        <w:jc w:val="left"/>
        <w:rPr>
          <w:rFonts w:ascii="Arial" w:hAnsi="Arial" w:cs="Arial"/>
          <w:b/>
          <w:sz w:val="22"/>
          <w:szCs w:val="22"/>
          <w:u w:val="single"/>
        </w:rPr>
      </w:pPr>
      <w:r>
        <w:rPr>
          <w:rFonts w:ascii="Arial" w:hAnsi="Arial" w:cs="Arial"/>
          <w:b/>
          <w:sz w:val="22"/>
          <w:szCs w:val="22"/>
          <w:u w:val="single"/>
        </w:rPr>
        <w:t>Risorse relative al recupero dell’evasione tributaria</w:t>
      </w:r>
    </w:p>
    <w:p w:rsidR="00457C6B" w:rsidRDefault="00457C6B">
      <w:pPr>
        <w:rPr>
          <w:rFonts w:ascii="Arial" w:hAnsi="Arial" w:cs="Arial"/>
          <w:b/>
          <w:sz w:val="20"/>
          <w:u w:val="single"/>
        </w:rPr>
      </w:pPr>
    </w:p>
    <w:p w:rsidR="00457C6B" w:rsidRDefault="0047703E">
      <w:pPr>
        <w:rPr>
          <w:rFonts w:ascii="Arial" w:hAnsi="Arial" w:cs="Arial"/>
          <w:sz w:val="22"/>
          <w:szCs w:val="22"/>
        </w:rPr>
      </w:pPr>
      <w:r>
        <w:rPr>
          <w:rFonts w:ascii="Arial" w:hAnsi="Arial" w:cs="Arial"/>
          <w:sz w:val="22"/>
          <w:szCs w:val="22"/>
        </w:rPr>
        <w:t>Le entrate relative all’attività di controllo delle dichiarazioni subiscono le seguenti variazioni:</w:t>
      </w:r>
    </w:p>
    <w:p w:rsidR="00014878" w:rsidRDefault="00014878">
      <w:pPr>
        <w:rPr>
          <w:rFonts w:ascii="Arial" w:hAnsi="Arial" w:cs="Arial"/>
          <w:sz w:val="22"/>
          <w:szCs w:val="22"/>
        </w:rPr>
      </w:pPr>
    </w:p>
    <w:p w:rsidR="00457C6B" w:rsidRDefault="00014878">
      <w:pPr>
        <w:numPr>
          <w:ilvl w:val="12"/>
          <w:numId w:val="0"/>
        </w:numPr>
        <w:rPr>
          <w:rFonts w:ascii="Arial" w:hAnsi="Arial" w:cs="Arial"/>
          <w:sz w:val="22"/>
          <w:szCs w:val="22"/>
        </w:rPr>
      </w:pPr>
      <w:r w:rsidRPr="00824CF3">
        <w:rPr>
          <w:rFonts w:ascii="Arial" w:hAnsi="Arial" w:cs="Arial"/>
          <w:sz w:val="22"/>
          <w:szCs w:val="22"/>
        </w:rPr>
        <w:object w:dxaOrig="10051" w:dyaOrig="2244">
          <v:shape id="_x0000_i1043" type="#_x0000_t75" style="width:502.65pt;height:112.1pt" o:ole="">
            <v:imagedata r:id="rId47" o:title=""/>
          </v:shape>
          <o:OLEObject Type="Embed" ProgID="Excel.Sheet.8" ShapeID="_x0000_i1043" DrawAspect="Content" ObjectID="_1484374344" r:id="rId48"/>
        </w:object>
      </w:r>
      <w:r w:rsidR="0047703E">
        <w:rPr>
          <w:rFonts w:ascii="Arial" w:hAnsi="Arial" w:cs="Arial"/>
          <w:sz w:val="22"/>
          <w:szCs w:val="22"/>
        </w:rPr>
        <w:t xml:space="preserve">In merito all’attività di recupero evasione dei tributi locali si osserva quanto segue </w:t>
      </w:r>
      <w:proofErr w:type="spellStart"/>
      <w:r w:rsidR="0047703E">
        <w:rPr>
          <w:rFonts w:ascii="Arial" w:hAnsi="Arial" w:cs="Arial"/>
          <w:sz w:val="22"/>
          <w:szCs w:val="22"/>
        </w:rPr>
        <w:t>………………</w:t>
      </w:r>
      <w:proofErr w:type="spellEnd"/>
      <w:r w:rsidR="0047703E">
        <w:rPr>
          <w:rFonts w:ascii="Arial" w:hAnsi="Arial" w:cs="Arial"/>
          <w:sz w:val="22"/>
          <w:szCs w:val="22"/>
        </w:rPr>
        <w:t>.</w:t>
      </w:r>
    </w:p>
    <w:p w:rsidR="00457C6B" w:rsidRDefault="00457C6B">
      <w:pPr>
        <w:rPr>
          <w:rFonts w:ascii="Arial" w:hAnsi="Arial" w:cs="Arial"/>
        </w:rPr>
      </w:pPr>
    </w:p>
    <w:p w:rsidR="00457C6B" w:rsidRDefault="0047703E">
      <w:pPr>
        <w:pStyle w:val="Titolo3"/>
      </w:pPr>
      <w:r>
        <w:t>Trasferimenti correnti dallo Stato</w:t>
      </w:r>
    </w:p>
    <w:p w:rsidR="00457C6B" w:rsidRDefault="0047703E">
      <w:pPr>
        <w:jc w:val="both"/>
        <w:rPr>
          <w:rFonts w:ascii="Arial" w:hAnsi="Arial" w:cs="Arial"/>
          <w:sz w:val="20"/>
        </w:rPr>
      </w:pPr>
      <w:r>
        <w:rPr>
          <w:rFonts w:ascii="Arial" w:hAnsi="Arial" w:cs="Arial"/>
          <w:sz w:val="22"/>
          <w:szCs w:val="22"/>
        </w:rPr>
        <w:t>Il gettito dei trasferimenti erariali è stato previsto sulla base della comunicazione del Ministero dell’Interno</w:t>
      </w:r>
      <w:r>
        <w:rPr>
          <w:rFonts w:ascii="Arial" w:hAnsi="Arial" w:cs="Arial"/>
          <w:sz w:val="20"/>
        </w:rPr>
        <w:t xml:space="preserve"> </w:t>
      </w:r>
      <w:r>
        <w:rPr>
          <w:rFonts w:ascii="Arial" w:hAnsi="Arial" w:cs="Arial"/>
          <w:color w:val="0000FF"/>
          <w:sz w:val="20"/>
          <w:szCs w:val="20"/>
        </w:rPr>
        <w:t>(o di altre fonti).</w:t>
      </w:r>
      <w:r>
        <w:rPr>
          <w:rFonts w:ascii="Arial" w:hAnsi="Arial" w:cs="Arial"/>
          <w:sz w:val="20"/>
        </w:rPr>
        <w:t xml:space="preserve"> </w:t>
      </w:r>
    </w:p>
    <w:p w:rsidR="00457C6B" w:rsidRDefault="00457C6B">
      <w:pPr>
        <w:pStyle w:val="Titolo8"/>
        <w:numPr>
          <w:ilvl w:val="12"/>
          <w:numId w:val="0"/>
        </w:numPr>
        <w:rPr>
          <w:rFonts w:cs="Arial"/>
          <w:sz w:val="20"/>
        </w:rPr>
      </w:pPr>
    </w:p>
    <w:p w:rsidR="00457C6B" w:rsidRDefault="0047703E">
      <w:pPr>
        <w:pStyle w:val="Titolo3"/>
      </w:pPr>
      <w:r>
        <w:t>Contributi per funzioni delegate dalla regione</w:t>
      </w: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 contributi per funzioni delegati dalla Regione sono previsti in euro </w:t>
      </w:r>
      <w:proofErr w:type="spellStart"/>
      <w:r>
        <w:rPr>
          <w:rFonts w:ascii="Arial" w:hAnsi="Arial" w:cs="Arial"/>
          <w:sz w:val="22"/>
          <w:szCs w:val="22"/>
        </w:rPr>
        <w:t>…………………</w:t>
      </w:r>
      <w:proofErr w:type="spellEnd"/>
      <w:r>
        <w:rPr>
          <w:rFonts w:ascii="Arial" w:hAnsi="Arial" w:cs="Arial"/>
          <w:sz w:val="22"/>
          <w:szCs w:val="22"/>
        </w:rPr>
        <w:t xml:space="preserve"> e sono specificatamente destinati per uguale importo nella spesa, come risulta dalla tabella prevista dal D.P.R. n. 194/96 riportante il quadro analitico per funzioni, servizi ed interventi delle spese per funzioni delegate dalla regione predisposta secondo le norme regionali ai sensi dell’articolo 165, punto 12, del </w:t>
      </w:r>
      <w:r>
        <w:rPr>
          <w:rFonts w:ascii="Arial" w:hAnsi="Arial" w:cs="Arial"/>
          <w:sz w:val="20"/>
          <w:szCs w:val="20"/>
        </w:rPr>
        <w:t>TUEL</w:t>
      </w:r>
      <w:r>
        <w:rPr>
          <w:rFonts w:ascii="Arial" w:hAnsi="Arial" w:cs="Arial"/>
          <w:sz w:val="22"/>
          <w:szCs w:val="22"/>
        </w:rPr>
        <w:t>.</w:t>
      </w:r>
    </w:p>
    <w:p w:rsidR="00457C6B" w:rsidRDefault="00457C6B">
      <w:pPr>
        <w:numPr>
          <w:ilvl w:val="12"/>
          <w:numId w:val="0"/>
        </w:numPr>
        <w:jc w:val="both"/>
        <w:rPr>
          <w:rFonts w:ascii="Arial" w:hAnsi="Arial" w:cs="Arial"/>
          <w:sz w:val="20"/>
        </w:rPr>
      </w:pPr>
    </w:p>
    <w:p w:rsidR="00457C6B" w:rsidRDefault="00457C6B">
      <w:pPr>
        <w:numPr>
          <w:ilvl w:val="12"/>
          <w:numId w:val="0"/>
        </w:numPr>
        <w:rPr>
          <w:rFonts w:ascii="Arial" w:hAnsi="Arial" w:cs="Arial"/>
          <w:sz w:val="20"/>
        </w:rPr>
      </w:pPr>
    </w:p>
    <w:p w:rsidR="00457C6B" w:rsidRDefault="0047703E">
      <w:pPr>
        <w:pStyle w:val="Titolo3"/>
      </w:pPr>
      <w:r>
        <w:t>Contributi da parte di organismi comunitari e internazionali</w:t>
      </w: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 contributi di organismi comunitari ed internazionali sono previsti in euro </w:t>
      </w:r>
      <w:proofErr w:type="spellStart"/>
      <w:r>
        <w:rPr>
          <w:rFonts w:ascii="Arial" w:hAnsi="Arial" w:cs="Arial"/>
          <w:sz w:val="22"/>
          <w:szCs w:val="22"/>
        </w:rPr>
        <w:t>…………………</w:t>
      </w:r>
      <w:proofErr w:type="spellEnd"/>
      <w:r>
        <w:rPr>
          <w:rFonts w:ascii="Arial" w:hAnsi="Arial" w:cs="Arial"/>
          <w:sz w:val="22"/>
          <w:szCs w:val="22"/>
        </w:rPr>
        <w:t xml:space="preserve"> e sono specificatamente destinati per uguale importo nella spesa, come risulta dalla tabella prevista dal D.P.R. n. 194/96 riportante il quadro analitico per funzioni, servizi ed interventi delle spese finanziate con fondi comunitari e internazionali.</w:t>
      </w:r>
    </w:p>
    <w:p w:rsidR="00457C6B" w:rsidRDefault="00457C6B">
      <w:pPr>
        <w:numPr>
          <w:ilvl w:val="12"/>
          <w:numId w:val="0"/>
        </w:numPr>
        <w:jc w:val="both"/>
        <w:rPr>
          <w:rFonts w:ascii="Arial" w:hAnsi="Arial" w:cs="Arial"/>
          <w:sz w:val="20"/>
        </w:rPr>
      </w:pPr>
    </w:p>
    <w:p w:rsidR="00457C6B" w:rsidRDefault="00457C6B">
      <w:pPr>
        <w:numPr>
          <w:ilvl w:val="12"/>
          <w:numId w:val="0"/>
        </w:numPr>
        <w:rPr>
          <w:rFonts w:ascii="Arial" w:hAnsi="Arial" w:cs="Arial"/>
          <w:sz w:val="20"/>
        </w:rPr>
      </w:pPr>
    </w:p>
    <w:p w:rsidR="00457C6B" w:rsidRDefault="0047703E">
      <w:pPr>
        <w:pStyle w:val="Titolo3"/>
      </w:pPr>
      <w:r>
        <w:lastRenderedPageBreak/>
        <w:t>Proventi dei servizi pubblici</w:t>
      </w:r>
    </w:p>
    <w:p w:rsidR="00457C6B" w:rsidRDefault="0047703E">
      <w:pPr>
        <w:pStyle w:val="BodyText21"/>
        <w:numPr>
          <w:ilvl w:val="12"/>
          <w:numId w:val="0"/>
        </w:numPr>
        <w:rPr>
          <w:rFonts w:cs="Arial"/>
          <w:b w:val="0"/>
          <w:i w:val="0"/>
          <w:sz w:val="22"/>
          <w:szCs w:val="22"/>
        </w:rPr>
      </w:pPr>
      <w:r>
        <w:rPr>
          <w:rFonts w:cs="Arial"/>
          <w:b w:val="0"/>
          <w:i w:val="0"/>
          <w:sz w:val="22"/>
          <w:szCs w:val="22"/>
        </w:rPr>
        <w:t xml:space="preserve">Il dettaglio delle previsioni di entrata e spesa </w:t>
      </w:r>
      <w:r>
        <w:rPr>
          <w:rFonts w:cs="Arial"/>
          <w:b w:val="0"/>
          <w:i w:val="0"/>
          <w:color w:val="0000FF"/>
          <w:sz w:val="20"/>
        </w:rPr>
        <w:t>(o di proventi e costi)</w:t>
      </w:r>
      <w:r>
        <w:rPr>
          <w:rFonts w:cs="Arial"/>
          <w:b w:val="0"/>
          <w:i w:val="0"/>
          <w:sz w:val="22"/>
          <w:szCs w:val="22"/>
        </w:rPr>
        <w:t xml:space="preserve"> dei servizi dell’ente suddivisi tra servizi a domanda individuale, servizi indispensabili e servizi diversi è il seguente:</w:t>
      </w:r>
    </w:p>
    <w:p w:rsidR="00B31F1F" w:rsidRDefault="00B31F1F">
      <w:pPr>
        <w:pStyle w:val="BodyText21"/>
        <w:numPr>
          <w:ilvl w:val="12"/>
          <w:numId w:val="0"/>
        </w:numPr>
        <w:rPr>
          <w:rFonts w:cs="Arial"/>
          <w:b w:val="0"/>
          <w:i w:val="0"/>
          <w:sz w:val="22"/>
          <w:szCs w:val="22"/>
        </w:rPr>
      </w:pPr>
      <w:r w:rsidRPr="00B771D5">
        <w:rPr>
          <w:rFonts w:cs="Arial"/>
          <w:b w:val="0"/>
          <w:i w:val="0"/>
          <w:sz w:val="22"/>
          <w:szCs w:val="22"/>
        </w:rPr>
        <w:object w:dxaOrig="9189" w:dyaOrig="3008">
          <v:shape id="_x0000_i1044" type="#_x0000_t75" style="width:459.15pt;height:150.1pt" o:ole="">
            <v:imagedata r:id="rId49" o:title=""/>
          </v:shape>
          <o:OLEObject Type="Embed" ProgID="Excel.Sheet.8" ShapeID="_x0000_i1044" DrawAspect="Content" ObjectID="_1484374345" r:id="rId50"/>
        </w:object>
      </w:r>
    </w:p>
    <w:p w:rsidR="00457C6B" w:rsidRDefault="0047703E">
      <w:pPr>
        <w:pStyle w:val="BodyText21"/>
        <w:numPr>
          <w:ilvl w:val="12"/>
          <w:numId w:val="0"/>
        </w:numPr>
        <w:spacing w:before="240"/>
        <w:rPr>
          <w:rFonts w:cs="Arial"/>
          <w:b w:val="0"/>
          <w:i w:val="0"/>
          <w:color w:val="0000FF"/>
          <w:sz w:val="20"/>
        </w:rPr>
      </w:pPr>
      <w:r>
        <w:rPr>
          <w:rFonts w:cs="Arial"/>
          <w:b w:val="0"/>
          <w:i w:val="0"/>
          <w:color w:val="0000FF"/>
          <w:sz w:val="20"/>
        </w:rPr>
        <w:t xml:space="preserve"> (I valori della tabella devono essere espressi in termini economici: proventi e costi; se sono espressi in termini finanziari occorre evidenziarlo nel parere)</w:t>
      </w:r>
    </w:p>
    <w:p w:rsidR="00457C6B" w:rsidRDefault="00457C6B">
      <w:pPr>
        <w:numPr>
          <w:ilvl w:val="12"/>
          <w:numId w:val="0"/>
        </w:numPr>
        <w:jc w:val="both"/>
        <w:rPr>
          <w:rFonts w:ascii="Arial" w:hAnsi="Arial" w:cs="Arial"/>
          <w:sz w:val="20"/>
        </w:rPr>
      </w:pP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L’organo esecutivo con deliberazione n. </w:t>
      </w:r>
      <w:proofErr w:type="spellStart"/>
      <w:r>
        <w:rPr>
          <w:rFonts w:ascii="Arial" w:hAnsi="Arial" w:cs="Arial"/>
          <w:sz w:val="22"/>
          <w:szCs w:val="22"/>
        </w:rPr>
        <w:t>……</w:t>
      </w:r>
      <w:proofErr w:type="spellEnd"/>
      <w:r>
        <w:rPr>
          <w:rFonts w:ascii="Arial" w:hAnsi="Arial" w:cs="Arial"/>
          <w:sz w:val="22"/>
          <w:szCs w:val="22"/>
        </w:rPr>
        <w:t xml:space="preserve">. del </w:t>
      </w:r>
      <w:proofErr w:type="spellStart"/>
      <w:r>
        <w:rPr>
          <w:rFonts w:ascii="Arial" w:hAnsi="Arial" w:cs="Arial"/>
          <w:sz w:val="22"/>
          <w:szCs w:val="22"/>
        </w:rPr>
        <w:t>………</w:t>
      </w:r>
      <w:proofErr w:type="spellEnd"/>
      <w:r>
        <w:rPr>
          <w:rFonts w:ascii="Arial" w:hAnsi="Arial" w:cs="Arial"/>
          <w:sz w:val="22"/>
          <w:szCs w:val="22"/>
        </w:rPr>
        <w:t>., allegata al  bilancio, ha determinato la percentuale complessiva di copertura dei servizi a domanda individuale nella misura del …. %.</w:t>
      </w:r>
    </w:p>
    <w:p w:rsidR="00457C6B" w:rsidRDefault="0047703E">
      <w:pPr>
        <w:rPr>
          <w:rFonts w:ascii="Arial" w:hAnsi="Arial" w:cs="Arial"/>
          <w:sz w:val="22"/>
          <w:szCs w:val="22"/>
        </w:rPr>
      </w:pPr>
      <w:r>
        <w:rPr>
          <w:rFonts w:ascii="Arial" w:hAnsi="Arial" w:cs="Arial"/>
          <w:sz w:val="22"/>
          <w:szCs w:val="22"/>
        </w:rPr>
        <w:t xml:space="preserve">Sulla base dei dati di cui sopra e tenuto conto del dato storico sulla parziale esigibilità delle rette e contribuzione per i servizi pubblici a domanda è previsto nella spesa un fondo svalutazione crediti di euro </w:t>
      </w:r>
      <w:proofErr w:type="spellStart"/>
      <w:r>
        <w:rPr>
          <w:rFonts w:ascii="Arial" w:hAnsi="Arial" w:cs="Arial"/>
          <w:sz w:val="22"/>
          <w:szCs w:val="22"/>
        </w:rPr>
        <w:t>……</w:t>
      </w:r>
      <w:proofErr w:type="spellEnd"/>
    </w:p>
    <w:p w:rsidR="00457C6B" w:rsidRDefault="00457C6B">
      <w:pPr>
        <w:numPr>
          <w:ilvl w:val="12"/>
          <w:numId w:val="0"/>
        </w:numPr>
        <w:jc w:val="both"/>
        <w:rPr>
          <w:rFonts w:ascii="Arial" w:hAnsi="Arial" w:cs="Arial"/>
          <w:sz w:val="22"/>
          <w:szCs w:val="22"/>
        </w:rPr>
      </w:pP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In merito si osserva:  </w:t>
      </w:r>
      <w:proofErr w:type="spellStart"/>
      <w:r>
        <w:rPr>
          <w:rFonts w:ascii="Arial" w:hAnsi="Arial" w:cs="Arial"/>
          <w:sz w:val="22"/>
          <w:szCs w:val="22"/>
        </w:rPr>
        <w:t>…………………………</w:t>
      </w:r>
      <w:proofErr w:type="spellEnd"/>
      <w:r>
        <w:rPr>
          <w:rFonts w:ascii="Arial" w:hAnsi="Arial" w:cs="Arial"/>
          <w:sz w:val="22"/>
          <w:szCs w:val="22"/>
        </w:rPr>
        <w:t>..</w:t>
      </w:r>
    </w:p>
    <w:p w:rsidR="00457C6B" w:rsidRDefault="00457C6B">
      <w:pPr>
        <w:numPr>
          <w:ilvl w:val="12"/>
          <w:numId w:val="0"/>
        </w:numPr>
        <w:jc w:val="both"/>
        <w:rPr>
          <w:rFonts w:ascii="Arial" w:hAnsi="Arial" w:cs="Arial"/>
          <w:b/>
          <w:color w:val="FF0000"/>
          <w:sz w:val="22"/>
          <w:szCs w:val="22"/>
        </w:rPr>
      </w:pP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L’organo di revisione prende atto che l’ente </w:t>
      </w:r>
      <w:r>
        <w:rPr>
          <w:rFonts w:ascii="Arial" w:hAnsi="Arial" w:cs="Arial"/>
          <w:color w:val="0000FF"/>
          <w:sz w:val="22"/>
          <w:szCs w:val="22"/>
        </w:rPr>
        <w:t>ha/non ha</w:t>
      </w:r>
      <w:r>
        <w:rPr>
          <w:rFonts w:ascii="Arial" w:hAnsi="Arial" w:cs="Arial"/>
          <w:sz w:val="22"/>
          <w:szCs w:val="22"/>
        </w:rPr>
        <w:t xml:space="preserve"> provveduto ad adeguare le seguenti tariffe:</w:t>
      </w:r>
      <w:proofErr w:type="spellStart"/>
      <w:r>
        <w:rPr>
          <w:rFonts w:ascii="Arial" w:hAnsi="Arial" w:cs="Arial"/>
          <w:sz w:val="22"/>
          <w:szCs w:val="22"/>
        </w:rPr>
        <w:t>…………</w:t>
      </w:r>
      <w:proofErr w:type="spellEnd"/>
    </w:p>
    <w:p w:rsidR="00457C6B" w:rsidRDefault="00457C6B">
      <w:pPr>
        <w:numPr>
          <w:ilvl w:val="12"/>
          <w:numId w:val="0"/>
        </w:numPr>
        <w:jc w:val="both"/>
        <w:rPr>
          <w:rFonts w:ascii="Arial" w:hAnsi="Arial" w:cs="Arial"/>
          <w:sz w:val="22"/>
          <w:szCs w:val="22"/>
        </w:rPr>
      </w:pP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In relazione alla dubbia esigibilità di rette e contribuzioni è stato previsto un fondo crediti di dubbia esigibilità di </w:t>
      </w:r>
      <w:proofErr w:type="spellStart"/>
      <w:r>
        <w:rPr>
          <w:rFonts w:ascii="Arial" w:hAnsi="Arial" w:cs="Arial"/>
          <w:sz w:val="22"/>
          <w:szCs w:val="22"/>
        </w:rPr>
        <w:t>euro………………………………………………………</w:t>
      </w:r>
      <w:proofErr w:type="spellEnd"/>
    </w:p>
    <w:p w:rsidR="00457C6B" w:rsidRDefault="00457C6B">
      <w:pPr>
        <w:numPr>
          <w:ilvl w:val="12"/>
          <w:numId w:val="0"/>
        </w:numPr>
        <w:jc w:val="center"/>
        <w:rPr>
          <w:rFonts w:ascii="Arial" w:hAnsi="Arial" w:cs="Arial"/>
          <w:b/>
          <w:color w:val="FF0000"/>
          <w:sz w:val="20"/>
        </w:rPr>
      </w:pP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In merito alle previsioni dei servizi pubblici si osserva: </w:t>
      </w:r>
      <w:proofErr w:type="spellStart"/>
      <w:r>
        <w:rPr>
          <w:rFonts w:ascii="Arial" w:hAnsi="Arial" w:cs="Arial"/>
          <w:sz w:val="22"/>
          <w:szCs w:val="22"/>
        </w:rPr>
        <w:t>…………………………</w:t>
      </w:r>
      <w:proofErr w:type="spellEnd"/>
    </w:p>
    <w:p w:rsidR="00457C6B" w:rsidRDefault="0047703E">
      <w:pPr>
        <w:numPr>
          <w:ilvl w:val="12"/>
          <w:numId w:val="0"/>
        </w:numPr>
        <w:rPr>
          <w:rFonts w:ascii="Arial" w:hAnsi="Arial" w:cs="Arial"/>
          <w:sz w:val="20"/>
        </w:rPr>
      </w:pPr>
      <w:r>
        <w:rPr>
          <w:rFonts w:ascii="Arial" w:hAnsi="Arial" w:cs="Arial"/>
          <w:sz w:val="20"/>
        </w:rPr>
        <w:br w:type="page"/>
      </w:r>
    </w:p>
    <w:p w:rsidR="00457C6B" w:rsidRDefault="0047703E">
      <w:pPr>
        <w:pStyle w:val="Titolo3"/>
      </w:pPr>
      <w:r>
        <w:lastRenderedPageBreak/>
        <w:t>Sanzioni amministrative da codice della strada</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I proventi da sanzioni amministrative sono previsti per il 2015 in euro  </w:t>
      </w:r>
      <w:proofErr w:type="spellStart"/>
      <w:r>
        <w:rPr>
          <w:rFonts w:ascii="Arial" w:hAnsi="Arial" w:cs="Arial"/>
          <w:sz w:val="22"/>
          <w:szCs w:val="22"/>
        </w:rPr>
        <w:t>………</w:t>
      </w:r>
      <w:proofErr w:type="spellEnd"/>
      <w:r>
        <w:rPr>
          <w:rFonts w:ascii="Arial" w:hAnsi="Arial" w:cs="Arial"/>
          <w:sz w:val="22"/>
          <w:szCs w:val="22"/>
        </w:rPr>
        <w:t xml:space="preserve"> al valore nominale.</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Con atto G.C. </w:t>
      </w:r>
      <w:proofErr w:type="spellStart"/>
      <w:r>
        <w:rPr>
          <w:rFonts w:ascii="Arial" w:hAnsi="Arial" w:cs="Arial"/>
          <w:sz w:val="22"/>
          <w:szCs w:val="22"/>
        </w:rPr>
        <w:t>n…</w:t>
      </w:r>
      <w:proofErr w:type="spellEnd"/>
      <w:r>
        <w:rPr>
          <w:rFonts w:ascii="Arial" w:hAnsi="Arial" w:cs="Arial"/>
          <w:sz w:val="22"/>
          <w:szCs w:val="22"/>
        </w:rPr>
        <w:t xml:space="preserve">.. del </w:t>
      </w:r>
      <w:proofErr w:type="spellStart"/>
      <w:r>
        <w:rPr>
          <w:rFonts w:ascii="Arial" w:hAnsi="Arial" w:cs="Arial"/>
          <w:sz w:val="22"/>
          <w:szCs w:val="22"/>
        </w:rPr>
        <w:t>……</w:t>
      </w:r>
      <w:proofErr w:type="spellEnd"/>
      <w:r>
        <w:rPr>
          <w:rFonts w:ascii="Arial" w:hAnsi="Arial" w:cs="Arial"/>
          <w:sz w:val="22"/>
          <w:szCs w:val="22"/>
        </w:rPr>
        <w:t>.  è stata destinata il 50% del provento al netto delle spese di riscossione e della quota spettante ad altri enti, negli interventi di spesa alle finalità di cui agli articoli 142 e 208, comma 4, del codice della strada, come modificato dalla Legge n. 120 del 29/7/2010.</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La Giunta ha stabilito le quote da destinare a ogni singola voce di spesa </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La Giunta ha destinato:</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a) ai sensi e per le finalità del comma 5 bis dell’art.208 del codice della strada una somma pari ad euro </w:t>
      </w:r>
      <w:proofErr w:type="spellStart"/>
      <w:r>
        <w:rPr>
          <w:rFonts w:ascii="Arial" w:hAnsi="Arial" w:cs="Arial"/>
          <w:sz w:val="22"/>
          <w:szCs w:val="22"/>
        </w:rPr>
        <w:t>……</w:t>
      </w:r>
      <w:proofErr w:type="spellEnd"/>
      <w:r>
        <w:rPr>
          <w:rFonts w:ascii="Arial" w:hAnsi="Arial" w:cs="Arial"/>
          <w:sz w:val="22"/>
          <w:szCs w:val="22"/>
        </w:rPr>
        <w:t>.. dei proventi vincolati al finanziamento di assunzioni stagionali a progetto e per il ricorso alla flessibilità nel lavoro.</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b) ai sensi e per le finalità del comma 12 dell’art.142 del codice della strada una somma pari ad euro </w:t>
      </w:r>
      <w:proofErr w:type="spellStart"/>
      <w:r>
        <w:rPr>
          <w:rFonts w:ascii="Arial" w:hAnsi="Arial" w:cs="Arial"/>
          <w:sz w:val="22"/>
          <w:szCs w:val="22"/>
        </w:rPr>
        <w:t>……</w:t>
      </w:r>
      <w:proofErr w:type="spellEnd"/>
      <w:r>
        <w:rPr>
          <w:rFonts w:ascii="Arial" w:hAnsi="Arial" w:cs="Arial"/>
          <w:sz w:val="22"/>
          <w:szCs w:val="22"/>
        </w:rPr>
        <w:t>.. dei proventi vincolati al finanziamento di spese di personale connesse alle attività di controllo e di accertamento delle violazioni in materia di circolazione stradale.</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La quota vincolata è destinata al </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Titolo I spesa per euro </w:t>
      </w:r>
      <w:proofErr w:type="spellStart"/>
      <w:r>
        <w:rPr>
          <w:rFonts w:ascii="Arial" w:hAnsi="Arial" w:cs="Arial"/>
          <w:sz w:val="22"/>
          <w:szCs w:val="22"/>
        </w:rPr>
        <w:t>…………</w:t>
      </w:r>
      <w:proofErr w:type="spellEnd"/>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Titolo II spesa per euro </w:t>
      </w:r>
      <w:proofErr w:type="spellStart"/>
      <w:r>
        <w:rPr>
          <w:rFonts w:ascii="Arial" w:hAnsi="Arial" w:cs="Arial"/>
          <w:sz w:val="22"/>
          <w:szCs w:val="22"/>
        </w:rPr>
        <w:t>…………</w:t>
      </w:r>
      <w:proofErr w:type="spellEnd"/>
      <w:r>
        <w:rPr>
          <w:rFonts w:ascii="Arial" w:hAnsi="Arial" w:cs="Arial"/>
          <w:sz w:val="22"/>
          <w:szCs w:val="22"/>
        </w:rPr>
        <w:t>..</w:t>
      </w:r>
    </w:p>
    <w:p w:rsidR="00457C6B" w:rsidRDefault="0047703E">
      <w:pPr>
        <w:numPr>
          <w:ilvl w:val="12"/>
          <w:numId w:val="0"/>
        </w:numPr>
        <w:jc w:val="both"/>
        <w:rPr>
          <w:rFonts w:ascii="Arial" w:hAnsi="Arial" w:cs="Arial"/>
          <w:sz w:val="22"/>
          <w:szCs w:val="22"/>
        </w:rPr>
      </w:pPr>
      <w:r>
        <w:rPr>
          <w:rFonts w:ascii="Arial" w:hAnsi="Arial" w:cs="Arial"/>
          <w:sz w:val="22"/>
          <w:szCs w:val="22"/>
        </w:rPr>
        <w:t xml:space="preserve">In merito si osserva  </w:t>
      </w:r>
      <w:proofErr w:type="spellStart"/>
      <w:r>
        <w:rPr>
          <w:rFonts w:ascii="Arial" w:hAnsi="Arial" w:cs="Arial"/>
          <w:sz w:val="22"/>
          <w:szCs w:val="22"/>
        </w:rPr>
        <w:t>…………………………………………………</w:t>
      </w:r>
      <w:proofErr w:type="spellEnd"/>
      <w:r>
        <w:rPr>
          <w:rFonts w:ascii="Arial" w:hAnsi="Arial" w:cs="Arial"/>
          <w:sz w:val="22"/>
          <w:szCs w:val="22"/>
        </w:rPr>
        <w:t>..</w:t>
      </w:r>
    </w:p>
    <w:p w:rsidR="00457C6B" w:rsidRDefault="0047703E">
      <w:pPr>
        <w:widowControl w:val="0"/>
        <w:autoSpaceDE w:val="0"/>
        <w:autoSpaceDN w:val="0"/>
        <w:adjustRightInd w:val="0"/>
        <w:spacing w:before="120" w:after="120"/>
        <w:jc w:val="both"/>
        <w:rPr>
          <w:rFonts w:ascii="Arial" w:hAnsi="Arial" w:cs="Arial"/>
          <w:sz w:val="22"/>
          <w:szCs w:val="22"/>
        </w:rPr>
      </w:pPr>
      <w:r>
        <w:rPr>
          <w:rFonts w:ascii="Arial" w:hAnsi="Arial" w:cs="Arial"/>
          <w:sz w:val="22"/>
          <w:szCs w:val="22"/>
        </w:rPr>
        <w:t>L’entrata presenta il seguente andamento:</w:t>
      </w:r>
    </w:p>
    <w:p w:rsidR="00014878" w:rsidRDefault="00014878">
      <w:pPr>
        <w:widowControl w:val="0"/>
        <w:autoSpaceDE w:val="0"/>
        <w:autoSpaceDN w:val="0"/>
        <w:adjustRightInd w:val="0"/>
        <w:spacing w:before="120" w:after="120"/>
        <w:jc w:val="both"/>
        <w:rPr>
          <w:rFonts w:ascii="Arial" w:hAnsi="Arial" w:cs="Arial"/>
          <w:sz w:val="22"/>
          <w:szCs w:val="22"/>
        </w:rPr>
      </w:pPr>
      <w:r w:rsidRPr="00824CF3">
        <w:rPr>
          <w:rFonts w:ascii="Arial" w:hAnsi="Arial" w:cs="Arial"/>
          <w:sz w:val="22"/>
          <w:szCs w:val="22"/>
        </w:rPr>
        <w:object w:dxaOrig="7459" w:dyaOrig="952">
          <v:shape id="_x0000_i1045" type="#_x0000_t75" style="width:372.9pt;height:47.55pt" o:ole="">
            <v:imagedata r:id="rId51" o:title=""/>
          </v:shape>
          <o:OLEObject Type="Embed" ProgID="Excel.Sheet.8" ShapeID="_x0000_i1045" DrawAspect="Content" ObjectID="_1484374346" r:id="rId52"/>
        </w:object>
      </w:r>
    </w:p>
    <w:p w:rsidR="00B31F1F" w:rsidRDefault="00B31F1F">
      <w:pPr>
        <w:widowControl w:val="0"/>
        <w:autoSpaceDE w:val="0"/>
        <w:autoSpaceDN w:val="0"/>
        <w:adjustRightInd w:val="0"/>
        <w:spacing w:before="120" w:after="120"/>
        <w:jc w:val="both"/>
        <w:rPr>
          <w:rFonts w:ascii="Arial" w:hAnsi="Arial" w:cs="Arial"/>
          <w:sz w:val="22"/>
          <w:szCs w:val="22"/>
        </w:rPr>
      </w:pPr>
      <w:r w:rsidRPr="00B771D5">
        <w:rPr>
          <w:rFonts w:ascii="Arial" w:hAnsi="Arial" w:cs="Arial"/>
          <w:sz w:val="22"/>
          <w:szCs w:val="22"/>
        </w:rPr>
        <w:object w:dxaOrig="9826" w:dyaOrig="2993">
          <v:shape id="_x0000_i1046" type="#_x0000_t75" style="width:491.1pt;height:149.45pt" o:ole="">
            <v:imagedata r:id="rId53" o:title=""/>
          </v:shape>
          <o:OLEObject Type="Embed" ProgID="Excel.Sheet.8" ShapeID="_x0000_i1046" DrawAspect="Content" ObjectID="_1484374347" r:id="rId54"/>
        </w:object>
      </w:r>
    </w:p>
    <w:p w:rsidR="00457C6B" w:rsidRDefault="00457C6B">
      <w:pPr>
        <w:widowControl w:val="0"/>
        <w:autoSpaceDE w:val="0"/>
        <w:autoSpaceDN w:val="0"/>
        <w:adjustRightInd w:val="0"/>
        <w:spacing w:before="120" w:after="120"/>
        <w:jc w:val="both"/>
        <w:rPr>
          <w:rFonts w:ascii="Arial" w:hAnsi="Arial" w:cs="Arial"/>
          <w:sz w:val="22"/>
          <w:szCs w:val="22"/>
        </w:rPr>
      </w:pPr>
    </w:p>
    <w:p w:rsidR="00457C6B" w:rsidRDefault="0047703E">
      <w:pPr>
        <w:rPr>
          <w:rFonts w:ascii="Arial" w:hAnsi="Arial" w:cs="Arial"/>
          <w:color w:val="0000FF"/>
          <w:sz w:val="20"/>
          <w:szCs w:val="20"/>
        </w:rPr>
      </w:pPr>
      <w:r>
        <w:rPr>
          <w:rFonts w:ascii="Arial" w:hAnsi="Arial" w:cs="Arial"/>
          <w:color w:val="0000FF"/>
          <w:sz w:val="20"/>
          <w:szCs w:val="20"/>
        </w:rPr>
        <w:t xml:space="preserve">(Proventi codice della strada infrazioni per eccesso di velocità art. 142 </w:t>
      </w:r>
      <w:proofErr w:type="spellStart"/>
      <w:r>
        <w:rPr>
          <w:rFonts w:ascii="Arial" w:hAnsi="Arial" w:cs="Arial"/>
          <w:color w:val="0000FF"/>
          <w:sz w:val="20"/>
          <w:szCs w:val="20"/>
        </w:rPr>
        <w:t>CdS</w:t>
      </w:r>
      <w:proofErr w:type="spellEnd"/>
      <w:r>
        <w:rPr>
          <w:rFonts w:ascii="Arial" w:hAnsi="Arial" w:cs="Arial"/>
          <w:color w:val="0000FF"/>
          <w:sz w:val="20"/>
          <w:szCs w:val="20"/>
        </w:rPr>
        <w:t xml:space="preserve"> e comma 16 art. 4 </w:t>
      </w:r>
      <w:proofErr w:type="spellStart"/>
      <w:r>
        <w:rPr>
          <w:rFonts w:ascii="Arial" w:hAnsi="Arial" w:cs="Arial"/>
          <w:color w:val="0000FF"/>
          <w:sz w:val="20"/>
          <w:szCs w:val="20"/>
        </w:rPr>
        <w:t>ter</w:t>
      </w:r>
      <w:proofErr w:type="spellEnd"/>
      <w:r>
        <w:rPr>
          <w:rFonts w:ascii="Arial" w:hAnsi="Arial" w:cs="Arial"/>
          <w:color w:val="0000FF"/>
          <w:sz w:val="20"/>
          <w:szCs w:val="20"/>
        </w:rPr>
        <w:t xml:space="preserve"> del D.L. 16/2012</w:t>
      </w:r>
    </w:p>
    <w:p w:rsidR="00457C6B" w:rsidRDefault="0047703E">
      <w:pPr>
        <w:rPr>
          <w:rFonts w:ascii="Arial" w:hAnsi="Arial" w:cs="Arial"/>
          <w:color w:val="0000FF"/>
          <w:sz w:val="20"/>
          <w:szCs w:val="20"/>
        </w:rPr>
      </w:pPr>
      <w:r>
        <w:rPr>
          <w:rFonts w:ascii="Arial" w:hAnsi="Arial" w:cs="Arial"/>
          <w:color w:val="0000FF"/>
          <w:sz w:val="20"/>
          <w:szCs w:val="20"/>
        </w:rPr>
        <w:t>Occorre rilevare separatamente i proventi da sanzioni al codice della strada rispetto a quelli per eccesso di velocità.</w:t>
      </w:r>
    </w:p>
    <w:p w:rsidR="00457C6B" w:rsidRDefault="0047703E">
      <w:pPr>
        <w:rPr>
          <w:rFonts w:ascii="Arial" w:hAnsi="Arial" w:cs="Arial"/>
          <w:color w:val="0000FF"/>
          <w:sz w:val="20"/>
          <w:szCs w:val="20"/>
        </w:rPr>
      </w:pPr>
      <w:r>
        <w:rPr>
          <w:rFonts w:ascii="Arial" w:hAnsi="Arial" w:cs="Arial"/>
          <w:color w:val="0000FF"/>
          <w:sz w:val="20"/>
          <w:szCs w:val="20"/>
        </w:rPr>
        <w:t>I proventi per sanzioni per eccesso di velocità rilevati  sulle strade appartenenti a enti diversi da quelli di quali dipendono gli organi accertatori devono essere ripartiti in misura uguale. Restano escluse le strade in concessione.</w:t>
      </w:r>
    </w:p>
    <w:p w:rsidR="00457C6B" w:rsidRDefault="0047703E">
      <w:pPr>
        <w:rPr>
          <w:rFonts w:ascii="Arial" w:hAnsi="Arial" w:cs="Arial"/>
          <w:color w:val="0000FF"/>
          <w:sz w:val="20"/>
          <w:szCs w:val="20"/>
        </w:rPr>
      </w:pPr>
      <w:r>
        <w:rPr>
          <w:rFonts w:ascii="Arial" w:hAnsi="Arial" w:cs="Arial"/>
          <w:color w:val="0000FF"/>
          <w:sz w:val="20"/>
          <w:szCs w:val="20"/>
        </w:rPr>
        <w:t>Gli introiti delle sanzioni per eccesso di velocità devono essere destinati alla realizzazione di interventi mirati individuati dalla Legge ed in particolare:</w:t>
      </w:r>
    </w:p>
    <w:p w:rsidR="00457C6B" w:rsidRDefault="0047703E">
      <w:pPr>
        <w:numPr>
          <w:ilvl w:val="0"/>
          <w:numId w:val="26"/>
        </w:numPr>
        <w:spacing w:after="200" w:line="276" w:lineRule="auto"/>
        <w:rPr>
          <w:rFonts w:ascii="Arial" w:hAnsi="Arial" w:cs="Arial"/>
          <w:color w:val="0000FF"/>
          <w:sz w:val="20"/>
          <w:szCs w:val="20"/>
        </w:rPr>
      </w:pPr>
      <w:r>
        <w:rPr>
          <w:rFonts w:ascii="Arial" w:hAnsi="Arial" w:cs="Arial"/>
          <w:color w:val="0000FF"/>
          <w:sz w:val="20"/>
          <w:szCs w:val="20"/>
        </w:rPr>
        <w:t>manutenzione e messa in sicurezza delle infrastrutture stradali;</w:t>
      </w:r>
    </w:p>
    <w:p w:rsidR="00457C6B" w:rsidRDefault="0047703E">
      <w:pPr>
        <w:numPr>
          <w:ilvl w:val="0"/>
          <w:numId w:val="26"/>
        </w:numPr>
        <w:spacing w:after="200" w:line="276" w:lineRule="auto"/>
        <w:rPr>
          <w:rFonts w:ascii="Arial" w:hAnsi="Arial" w:cs="Arial"/>
          <w:color w:val="0000FF"/>
          <w:sz w:val="20"/>
          <w:szCs w:val="20"/>
        </w:rPr>
      </w:pPr>
      <w:r>
        <w:rPr>
          <w:rFonts w:ascii="Arial" w:hAnsi="Arial" w:cs="Arial"/>
          <w:color w:val="0000FF"/>
          <w:sz w:val="20"/>
          <w:szCs w:val="20"/>
        </w:rPr>
        <w:t>potenziamento attività di controllo e accertamento delle violazioni in materia di circolazione stradale, comprese le relative spese di personale).</w:t>
      </w:r>
    </w:p>
    <w:p w:rsidR="00457C6B" w:rsidRDefault="0047703E">
      <w:pPr>
        <w:rPr>
          <w:rFonts w:ascii="Arial" w:hAnsi="Arial" w:cs="Arial"/>
          <w:sz w:val="22"/>
          <w:szCs w:val="22"/>
        </w:rPr>
      </w:pPr>
      <w:r>
        <w:rPr>
          <w:rFonts w:ascii="Arial" w:hAnsi="Arial" w:cs="Arial"/>
          <w:sz w:val="22"/>
          <w:szCs w:val="22"/>
        </w:rPr>
        <w:lastRenderedPageBreak/>
        <w:t xml:space="preserve">Sulla base dei dati di cui sopra a fronte delle previsioni di entrata per accertamento sanzioni è previsto nella spesa un fondo svalutazione crediti di euro </w:t>
      </w:r>
      <w:proofErr w:type="spellStart"/>
      <w:r>
        <w:rPr>
          <w:rFonts w:ascii="Arial" w:hAnsi="Arial" w:cs="Arial"/>
          <w:sz w:val="22"/>
          <w:szCs w:val="22"/>
        </w:rPr>
        <w:t>……</w:t>
      </w:r>
      <w:proofErr w:type="spellEnd"/>
    </w:p>
    <w:p w:rsidR="00457C6B" w:rsidRDefault="00457C6B">
      <w:pPr>
        <w:widowControl w:val="0"/>
        <w:autoSpaceDE w:val="0"/>
        <w:autoSpaceDN w:val="0"/>
        <w:adjustRightInd w:val="0"/>
        <w:spacing w:after="120"/>
        <w:jc w:val="both"/>
        <w:rPr>
          <w:rFonts w:ascii="Arial" w:hAnsi="Arial" w:cs="Arial"/>
          <w:b/>
          <w:sz w:val="20"/>
        </w:rPr>
      </w:pPr>
    </w:p>
    <w:p w:rsidR="00457C6B" w:rsidRDefault="0047703E">
      <w:pPr>
        <w:pStyle w:val="Titolo3"/>
      </w:pPr>
      <w:bookmarkStart w:id="33" w:name="_Cosap_(Canone_occupazione"/>
      <w:bookmarkEnd w:id="33"/>
      <w:proofErr w:type="spellStart"/>
      <w:r>
        <w:t>Cosap</w:t>
      </w:r>
      <w:proofErr w:type="spellEnd"/>
      <w:r>
        <w:t xml:space="preserve"> (Canone occupazione spazi ed aree pubbliche)</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L’ente ha istituito, ai sensi dell’art. 63 del </w:t>
      </w:r>
      <w:proofErr w:type="spellStart"/>
      <w:r>
        <w:rPr>
          <w:rFonts w:ascii="Arial" w:hAnsi="Arial" w:cs="Arial"/>
          <w:sz w:val="22"/>
          <w:szCs w:val="22"/>
        </w:rPr>
        <w:t>D.Lgs.</w:t>
      </w:r>
      <w:proofErr w:type="spellEnd"/>
      <w:r>
        <w:rPr>
          <w:rFonts w:ascii="Arial" w:hAnsi="Arial" w:cs="Arial"/>
          <w:sz w:val="22"/>
          <w:szCs w:val="22"/>
        </w:rPr>
        <w:t xml:space="preserve"> n. 446/97, con regolamento approvato con atto del Consiglio n. </w:t>
      </w:r>
      <w:proofErr w:type="spellStart"/>
      <w:r>
        <w:rPr>
          <w:rFonts w:ascii="Arial" w:hAnsi="Arial" w:cs="Arial"/>
          <w:sz w:val="22"/>
          <w:szCs w:val="22"/>
        </w:rPr>
        <w:t>……</w:t>
      </w:r>
      <w:proofErr w:type="spellEnd"/>
      <w:r>
        <w:rPr>
          <w:rFonts w:ascii="Arial" w:hAnsi="Arial" w:cs="Arial"/>
          <w:sz w:val="22"/>
          <w:szCs w:val="22"/>
        </w:rPr>
        <w:t xml:space="preserve"> del </w:t>
      </w:r>
      <w:proofErr w:type="spellStart"/>
      <w:r>
        <w:rPr>
          <w:rFonts w:ascii="Arial" w:hAnsi="Arial" w:cs="Arial"/>
          <w:sz w:val="22"/>
          <w:szCs w:val="22"/>
        </w:rPr>
        <w:t>………</w:t>
      </w:r>
      <w:proofErr w:type="spellEnd"/>
      <w:r>
        <w:rPr>
          <w:rFonts w:ascii="Arial" w:hAnsi="Arial" w:cs="Arial"/>
          <w:sz w:val="22"/>
          <w:szCs w:val="22"/>
        </w:rPr>
        <w:t>.., il canone per l’occupazione di spazi e aree pubbliche.</w:t>
      </w:r>
    </w:p>
    <w:p w:rsidR="00457C6B" w:rsidRDefault="0047703E">
      <w:pPr>
        <w:numPr>
          <w:ilvl w:val="12"/>
          <w:numId w:val="0"/>
        </w:numPr>
        <w:spacing w:after="120"/>
        <w:jc w:val="both"/>
        <w:rPr>
          <w:rFonts w:ascii="Arial" w:hAnsi="Arial" w:cs="Arial"/>
          <w:sz w:val="22"/>
          <w:szCs w:val="22"/>
        </w:rPr>
      </w:pPr>
      <w:r>
        <w:rPr>
          <w:rFonts w:ascii="Arial" w:hAnsi="Arial" w:cs="Arial"/>
          <w:sz w:val="22"/>
          <w:szCs w:val="22"/>
        </w:rPr>
        <w:t xml:space="preserve">Il gettito del canone per il 2015 è previsto in euro  </w:t>
      </w:r>
      <w:proofErr w:type="spellStart"/>
      <w:r>
        <w:rPr>
          <w:rFonts w:ascii="Arial" w:hAnsi="Arial" w:cs="Arial"/>
          <w:sz w:val="22"/>
          <w:szCs w:val="22"/>
        </w:rPr>
        <w:t>………</w:t>
      </w:r>
      <w:proofErr w:type="spellEnd"/>
      <w:r>
        <w:rPr>
          <w:rFonts w:ascii="Arial" w:hAnsi="Arial" w:cs="Arial"/>
          <w:sz w:val="22"/>
          <w:szCs w:val="22"/>
        </w:rPr>
        <w:t xml:space="preserve"> sulla base degli atti di concessione in essere e di quelli programmati per il 2015.</w:t>
      </w:r>
    </w:p>
    <w:p w:rsidR="00457C6B" w:rsidRDefault="00457C6B">
      <w:pPr>
        <w:numPr>
          <w:ilvl w:val="12"/>
          <w:numId w:val="0"/>
        </w:numPr>
        <w:rPr>
          <w:rFonts w:ascii="Arial" w:hAnsi="Arial" w:cs="Arial"/>
          <w:sz w:val="20"/>
          <w:u w:val="single"/>
        </w:rPr>
      </w:pPr>
    </w:p>
    <w:p w:rsidR="00457C6B" w:rsidRDefault="00457C6B">
      <w:pPr>
        <w:pStyle w:val="Titolo9"/>
        <w:rPr>
          <w:sz w:val="20"/>
          <w:u w:val="none"/>
        </w:rPr>
      </w:pPr>
    </w:p>
    <w:p w:rsidR="00457C6B" w:rsidRDefault="0047703E">
      <w:pPr>
        <w:pStyle w:val="Titolo3"/>
      </w:pPr>
      <w:r>
        <w:t>Utili netti delle aziende speciali e partecipate, dividendi di società</w:t>
      </w:r>
    </w:p>
    <w:p w:rsidR="00457C6B" w:rsidRDefault="0047703E">
      <w:pPr>
        <w:pStyle w:val="BodyText21"/>
        <w:numPr>
          <w:ilvl w:val="12"/>
          <w:numId w:val="0"/>
        </w:numPr>
        <w:spacing w:before="120"/>
        <w:rPr>
          <w:rFonts w:cs="Arial"/>
          <w:b w:val="0"/>
          <w:i w:val="0"/>
          <w:sz w:val="22"/>
          <w:szCs w:val="22"/>
        </w:rPr>
      </w:pPr>
      <w:r>
        <w:rPr>
          <w:rFonts w:cs="Arial"/>
          <w:b w:val="0"/>
          <w:i w:val="0"/>
          <w:sz w:val="22"/>
          <w:szCs w:val="22"/>
        </w:rPr>
        <w:t xml:space="preserve">Sono previsti euro </w:t>
      </w:r>
      <w:proofErr w:type="spellStart"/>
      <w:r>
        <w:rPr>
          <w:rFonts w:cs="Arial"/>
          <w:b w:val="0"/>
          <w:i w:val="0"/>
          <w:sz w:val="22"/>
          <w:szCs w:val="22"/>
        </w:rPr>
        <w:t>……………………</w:t>
      </w:r>
      <w:proofErr w:type="spellEnd"/>
      <w:r>
        <w:rPr>
          <w:rFonts w:cs="Arial"/>
          <w:b w:val="0"/>
          <w:i w:val="0"/>
          <w:sz w:val="22"/>
          <w:szCs w:val="22"/>
        </w:rPr>
        <w:t>. per prelievo utili e dividendi dai seguenti organismi partecipati:</w:t>
      </w:r>
    </w:p>
    <w:p w:rsidR="00457C6B" w:rsidRDefault="0047703E">
      <w:pPr>
        <w:pStyle w:val="BodyText21"/>
        <w:numPr>
          <w:ilvl w:val="12"/>
          <w:numId w:val="0"/>
        </w:numPr>
        <w:spacing w:before="120"/>
        <w:rPr>
          <w:rFonts w:cs="Arial"/>
          <w:b w:val="0"/>
          <w:i w:val="0"/>
          <w:sz w:val="22"/>
          <w:szCs w:val="22"/>
        </w:rPr>
      </w:pP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numPr>
          <w:ilvl w:val="12"/>
          <w:numId w:val="0"/>
        </w:numPr>
        <w:spacing w:before="120"/>
        <w:rPr>
          <w:rFonts w:cs="Arial"/>
          <w:b w:val="0"/>
          <w:i w:val="0"/>
          <w:sz w:val="22"/>
          <w:szCs w:val="22"/>
        </w:rPr>
      </w:pPr>
      <w:r>
        <w:rPr>
          <w:rFonts w:cs="Arial"/>
          <w:b w:val="0"/>
          <w:i w:val="0"/>
          <w:sz w:val="22"/>
          <w:szCs w:val="22"/>
        </w:rPr>
        <w:t xml:space="preserve">in relazione ai seguenti elementi </w:t>
      </w:r>
      <w:proofErr w:type="spellStart"/>
      <w:r>
        <w:rPr>
          <w:rFonts w:cs="Arial"/>
          <w:b w:val="0"/>
          <w:i w:val="0"/>
          <w:sz w:val="22"/>
          <w:szCs w:val="22"/>
        </w:rPr>
        <w:t>……………………………………</w:t>
      </w:r>
      <w:proofErr w:type="spellEnd"/>
      <w:r>
        <w:rPr>
          <w:rFonts w:cs="Arial"/>
          <w:b w:val="0"/>
          <w:i w:val="0"/>
          <w:sz w:val="22"/>
          <w:szCs w:val="22"/>
        </w:rPr>
        <w:t xml:space="preserve">  </w:t>
      </w:r>
    </w:p>
    <w:p w:rsidR="00457C6B" w:rsidRDefault="00457C6B">
      <w:pPr>
        <w:pStyle w:val="Titolo2"/>
      </w:pPr>
      <w:bookmarkStart w:id="34" w:name="_SPESE_CORRENTI"/>
      <w:bookmarkEnd w:id="34"/>
    </w:p>
    <w:p w:rsidR="00457C6B" w:rsidRDefault="0047703E">
      <w:pPr>
        <w:pStyle w:val="Titolo2"/>
      </w:pPr>
      <w:bookmarkStart w:id="35" w:name="_Toc408988071"/>
      <w:r>
        <w:t>SPESE CORRENTI</w:t>
      </w:r>
      <w:bookmarkEnd w:id="35"/>
    </w:p>
    <w:p w:rsidR="00457C6B" w:rsidRDefault="00457C6B"/>
    <w:p w:rsidR="00457C6B" w:rsidRDefault="0047703E">
      <w:pPr>
        <w:pStyle w:val="BodyText21"/>
        <w:spacing w:after="0"/>
        <w:rPr>
          <w:rFonts w:cs="Arial"/>
          <w:b w:val="0"/>
          <w:i w:val="0"/>
          <w:color w:val="0000FF"/>
          <w:sz w:val="20"/>
        </w:rPr>
      </w:pPr>
      <w:r>
        <w:rPr>
          <w:rFonts w:cs="Arial"/>
          <w:b w:val="0"/>
          <w:i w:val="0"/>
          <w:color w:val="0000FF"/>
          <w:sz w:val="20"/>
        </w:rPr>
        <w:t>(Per le voci che seguono si suggerisce di indicare le scelte e gli obiettivi che l’ente intende perseguire anche in termini di aumento o riduzione dei costi, miglioramento qualitativo dei servizi indispensabili, a domanda individuale o produttivi.</w:t>
      </w:r>
    </w:p>
    <w:p w:rsidR="00457C6B" w:rsidRDefault="0047703E">
      <w:pPr>
        <w:spacing w:after="120"/>
        <w:jc w:val="both"/>
        <w:rPr>
          <w:rFonts w:ascii="Arial" w:hAnsi="Arial" w:cs="Arial"/>
          <w:color w:val="0000FF"/>
          <w:sz w:val="20"/>
          <w:szCs w:val="20"/>
        </w:rPr>
      </w:pPr>
      <w:r>
        <w:rPr>
          <w:rFonts w:ascii="Arial" w:hAnsi="Arial" w:cs="Arial"/>
          <w:color w:val="0000FF"/>
          <w:sz w:val="20"/>
          <w:szCs w:val="20"/>
        </w:rPr>
        <w:t>Sarebbe inoltre opportuno evidenziare e motivare i principali scostamenti rispetto ai dati del rendiconto 2013 (o 2014) e alle previsioni definitive 2014).</w:t>
      </w:r>
    </w:p>
    <w:p w:rsidR="00457C6B" w:rsidRDefault="0047703E">
      <w:pPr>
        <w:spacing w:after="120"/>
        <w:jc w:val="both"/>
        <w:rPr>
          <w:rFonts w:ascii="Arial" w:hAnsi="Arial" w:cs="Arial"/>
          <w:sz w:val="22"/>
          <w:szCs w:val="22"/>
        </w:rPr>
      </w:pPr>
      <w:r>
        <w:rPr>
          <w:rFonts w:ascii="Arial" w:hAnsi="Arial" w:cs="Arial"/>
          <w:sz w:val="22"/>
          <w:szCs w:val="22"/>
        </w:rPr>
        <w:t>Il dettaglio delle previsioni delle spese correnti classificate per intervento, confrontate con i dati del rendiconto 2013 e previsioni definitive 2014</w:t>
      </w:r>
      <w:r>
        <w:rPr>
          <w:rFonts w:ascii="Arial" w:hAnsi="Arial" w:cs="Arial"/>
          <w:color w:val="0000FF"/>
          <w:sz w:val="22"/>
          <w:szCs w:val="22"/>
        </w:rPr>
        <w:t>(o rendiconto 2014)</w:t>
      </w:r>
      <w:r>
        <w:rPr>
          <w:rFonts w:ascii="Arial" w:hAnsi="Arial" w:cs="Arial"/>
          <w:sz w:val="22"/>
          <w:szCs w:val="22"/>
        </w:rPr>
        <w:t>, è il seguente:</w:t>
      </w:r>
    </w:p>
    <w:p w:rsidR="00B31F1F" w:rsidRDefault="00B31F1F">
      <w:pPr>
        <w:spacing w:after="120"/>
        <w:jc w:val="both"/>
        <w:rPr>
          <w:rFonts w:ascii="Arial" w:hAnsi="Arial" w:cs="Arial"/>
          <w:sz w:val="22"/>
          <w:szCs w:val="22"/>
        </w:rPr>
      </w:pPr>
      <w:r w:rsidRPr="00B771D5">
        <w:rPr>
          <w:rFonts w:ascii="Arial" w:hAnsi="Arial" w:cs="Arial"/>
          <w:sz w:val="22"/>
          <w:szCs w:val="22"/>
        </w:rPr>
        <w:object w:dxaOrig="10404" w:dyaOrig="4467">
          <v:shape id="_x0000_i1047" type="#_x0000_t75" style="width:520.3pt;height:223.45pt" o:ole="">
            <v:imagedata r:id="rId55" o:title=""/>
          </v:shape>
          <o:OLEObject Type="Embed" ProgID="Excel.Sheet.8" ShapeID="_x0000_i1047" DrawAspect="Content" ObjectID="_1484374348" r:id="rId56"/>
        </w:object>
      </w:r>
    </w:p>
    <w:p w:rsidR="00AB4CC5" w:rsidRDefault="00AB4CC5">
      <w:pPr>
        <w:spacing w:after="120"/>
        <w:jc w:val="both"/>
        <w:rPr>
          <w:rFonts w:ascii="Arial" w:hAnsi="Arial" w:cs="Arial"/>
          <w:sz w:val="22"/>
          <w:szCs w:val="22"/>
        </w:rPr>
      </w:pPr>
    </w:p>
    <w:p w:rsidR="00457C6B" w:rsidRDefault="00457C6B">
      <w:pPr>
        <w:spacing w:after="120"/>
        <w:jc w:val="both"/>
        <w:rPr>
          <w:rFonts w:ascii="Arial" w:hAnsi="Arial" w:cs="Arial"/>
          <w:sz w:val="22"/>
          <w:szCs w:val="22"/>
        </w:rPr>
      </w:pPr>
    </w:p>
    <w:p w:rsidR="00457C6B" w:rsidRDefault="00457C6B">
      <w:pPr>
        <w:spacing w:after="120"/>
        <w:jc w:val="both"/>
        <w:rPr>
          <w:rFonts w:ascii="Arial" w:hAnsi="Arial" w:cs="Arial"/>
          <w:sz w:val="22"/>
          <w:szCs w:val="22"/>
        </w:rPr>
      </w:pPr>
    </w:p>
    <w:p w:rsidR="00457C6B" w:rsidRDefault="00457C6B">
      <w:pPr>
        <w:spacing w:after="120"/>
        <w:jc w:val="both"/>
        <w:rPr>
          <w:rFonts w:ascii="Arial" w:hAnsi="Arial" w:cs="Arial"/>
          <w:sz w:val="22"/>
          <w:szCs w:val="22"/>
        </w:rPr>
      </w:pPr>
    </w:p>
    <w:p w:rsidR="00457C6B" w:rsidRDefault="00457C6B">
      <w:pPr>
        <w:jc w:val="center"/>
        <w:rPr>
          <w:rFonts w:ascii="Arial" w:hAnsi="Arial" w:cs="Arial"/>
          <w:sz w:val="20"/>
        </w:rPr>
      </w:pPr>
    </w:p>
    <w:p w:rsidR="00457C6B" w:rsidRDefault="0047703E">
      <w:pPr>
        <w:jc w:val="both"/>
        <w:rPr>
          <w:rFonts w:ascii="Arial" w:hAnsi="Arial" w:cs="Arial"/>
          <w:color w:val="0000FF"/>
          <w:sz w:val="20"/>
          <w:szCs w:val="20"/>
        </w:rPr>
      </w:pPr>
      <w:r>
        <w:rPr>
          <w:rFonts w:ascii="Arial" w:hAnsi="Arial" w:cs="Arial"/>
          <w:b/>
          <w:i/>
          <w:color w:val="0000FF"/>
          <w:sz w:val="18"/>
          <w:szCs w:val="18"/>
        </w:rPr>
        <w:lastRenderedPageBreak/>
        <w:t xml:space="preserve"> </w:t>
      </w:r>
      <w:r>
        <w:rPr>
          <w:rFonts w:ascii="Arial" w:hAnsi="Arial" w:cs="Arial"/>
          <w:color w:val="0000FF"/>
          <w:sz w:val="20"/>
          <w:szCs w:val="20"/>
        </w:rPr>
        <w:t xml:space="preserve">[Si ricorda che ai comuni con popolazione inferiore ai 5.000 abitanti e alle comunità montane è consentita l’iscrizione degli interventi nel servizio prevalente (art. 2, comma 7, D.P.R. n. 194/96). </w:t>
      </w:r>
    </w:p>
    <w:p w:rsidR="00457C6B" w:rsidRDefault="0047703E">
      <w:pPr>
        <w:jc w:val="both"/>
        <w:rPr>
          <w:rFonts w:ascii="Arial" w:hAnsi="Arial" w:cs="Arial"/>
          <w:smallCaps/>
          <w:color w:val="0000FF"/>
          <w:sz w:val="20"/>
          <w:szCs w:val="20"/>
        </w:rPr>
      </w:pPr>
      <w:r>
        <w:rPr>
          <w:rFonts w:ascii="Arial" w:hAnsi="Arial" w:cs="Arial"/>
          <w:color w:val="0000FF"/>
          <w:sz w:val="20"/>
          <w:szCs w:val="20"/>
        </w:rPr>
        <w:t>Tutti gli altri enti devono necessariamente iscrivere gli interventi nell’ambito di pertinenza].</w:t>
      </w:r>
    </w:p>
    <w:p w:rsidR="00457C6B" w:rsidRDefault="00457C6B">
      <w:pPr>
        <w:jc w:val="both"/>
        <w:rPr>
          <w:rFonts w:ascii="Arial" w:hAnsi="Arial" w:cs="Arial"/>
          <w:b/>
          <w:i/>
          <w:smallCaps/>
          <w:sz w:val="20"/>
        </w:rPr>
      </w:pPr>
    </w:p>
    <w:p w:rsidR="00457C6B" w:rsidRDefault="0047703E">
      <w:pPr>
        <w:pStyle w:val="Titolo3"/>
      </w:pPr>
      <w:r>
        <w:t>Spese di personale</w:t>
      </w:r>
    </w:p>
    <w:p w:rsidR="00457C6B" w:rsidRDefault="00457C6B">
      <w:pPr>
        <w:tabs>
          <w:tab w:val="left" w:pos="720"/>
        </w:tabs>
        <w:rPr>
          <w:rFonts w:ascii="Arial" w:hAnsi="Arial" w:cs="Arial"/>
          <w:i/>
          <w:sz w:val="22"/>
          <w:szCs w:val="22"/>
        </w:rPr>
      </w:pPr>
    </w:p>
    <w:p w:rsidR="00457C6B" w:rsidRDefault="0047703E">
      <w:pPr>
        <w:jc w:val="both"/>
        <w:rPr>
          <w:rFonts w:ascii="Arial" w:hAnsi="Arial" w:cs="Arial"/>
          <w:sz w:val="22"/>
          <w:szCs w:val="22"/>
        </w:rPr>
      </w:pPr>
      <w:r>
        <w:rPr>
          <w:rFonts w:ascii="Arial" w:hAnsi="Arial" w:cs="Arial"/>
          <w:sz w:val="22"/>
          <w:szCs w:val="22"/>
        </w:rPr>
        <w:t xml:space="preserve">La spesa del personale prevista per l’esercizio 2015 in euro </w:t>
      </w:r>
      <w:proofErr w:type="spellStart"/>
      <w:r>
        <w:rPr>
          <w:rFonts w:ascii="Arial" w:hAnsi="Arial" w:cs="Arial"/>
          <w:sz w:val="22"/>
          <w:szCs w:val="22"/>
        </w:rPr>
        <w:t>……………</w:t>
      </w:r>
      <w:proofErr w:type="spellEnd"/>
      <w:r>
        <w:rPr>
          <w:rFonts w:ascii="Arial" w:hAnsi="Arial" w:cs="Arial"/>
          <w:sz w:val="22"/>
          <w:szCs w:val="22"/>
        </w:rPr>
        <w:t xml:space="preserve">. riferita a n. </w:t>
      </w:r>
      <w:proofErr w:type="spellStart"/>
      <w:r>
        <w:rPr>
          <w:rFonts w:ascii="Arial" w:hAnsi="Arial" w:cs="Arial"/>
          <w:sz w:val="22"/>
          <w:szCs w:val="22"/>
        </w:rPr>
        <w:t>……</w:t>
      </w:r>
      <w:proofErr w:type="spellEnd"/>
      <w:r>
        <w:rPr>
          <w:rFonts w:ascii="Arial" w:hAnsi="Arial" w:cs="Arial"/>
          <w:sz w:val="22"/>
          <w:szCs w:val="22"/>
        </w:rPr>
        <w:t xml:space="preserve"> dipendenti, pari a euro  </w:t>
      </w:r>
      <w:proofErr w:type="spellStart"/>
      <w:r>
        <w:rPr>
          <w:rFonts w:ascii="Arial" w:hAnsi="Arial" w:cs="Arial"/>
          <w:sz w:val="22"/>
          <w:szCs w:val="22"/>
        </w:rPr>
        <w:t>……</w:t>
      </w:r>
      <w:proofErr w:type="spellEnd"/>
      <w:r>
        <w:rPr>
          <w:rFonts w:ascii="Arial" w:hAnsi="Arial" w:cs="Arial"/>
          <w:sz w:val="22"/>
          <w:szCs w:val="22"/>
        </w:rPr>
        <w:t>..  per dipendente, tiene conto della programmazione del fabbisogno, del piano delle assunzioni e:</w:t>
      </w:r>
    </w:p>
    <w:p w:rsidR="00457C6B" w:rsidRDefault="0047703E">
      <w:pPr>
        <w:numPr>
          <w:ilvl w:val="0"/>
          <w:numId w:val="13"/>
        </w:numPr>
        <w:tabs>
          <w:tab w:val="left" w:pos="360"/>
        </w:tabs>
        <w:spacing w:before="120"/>
        <w:ind w:left="357" w:hanging="357"/>
        <w:jc w:val="both"/>
        <w:rPr>
          <w:rFonts w:ascii="Arial" w:hAnsi="Arial" w:cs="Arial"/>
          <w:sz w:val="22"/>
          <w:szCs w:val="22"/>
        </w:rPr>
      </w:pPr>
      <w:r>
        <w:rPr>
          <w:rFonts w:ascii="Arial" w:hAnsi="Arial" w:cs="Arial"/>
          <w:sz w:val="22"/>
          <w:szCs w:val="22"/>
        </w:rPr>
        <w:t>dei vincoli disposti dall’art. 3, comma 5 del d.l. 90/2014 sulle assunzioni di personale a tempo indeterminato;</w:t>
      </w:r>
    </w:p>
    <w:p w:rsidR="00457C6B" w:rsidRDefault="0047703E">
      <w:pPr>
        <w:tabs>
          <w:tab w:val="left" w:pos="360"/>
        </w:tabs>
        <w:spacing w:before="120"/>
        <w:ind w:left="357"/>
        <w:jc w:val="both"/>
        <w:rPr>
          <w:rFonts w:ascii="Arial" w:hAnsi="Arial" w:cs="Arial"/>
          <w:color w:val="0000FF"/>
          <w:sz w:val="20"/>
          <w:szCs w:val="20"/>
        </w:rPr>
      </w:pPr>
      <w:r>
        <w:rPr>
          <w:rStyle w:val="apple-converted-space"/>
          <w:rFonts w:ascii="Arial" w:hAnsi="Arial" w:cs="Arial"/>
          <w:color w:val="0000FF"/>
          <w:sz w:val="20"/>
          <w:szCs w:val="20"/>
        </w:rPr>
        <w:t>(</w:t>
      </w:r>
      <w:r>
        <w:rPr>
          <w:rFonts w:ascii="Arial" w:hAnsi="Arial" w:cs="Arial"/>
          <w:color w:val="0000FF"/>
          <w:sz w:val="20"/>
          <w:szCs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Pr>
          <w:rFonts w:ascii="Arial" w:hAnsi="Arial" w:cs="Arial"/>
          <w:iCs/>
          <w:color w:val="0000FF"/>
          <w:sz w:val="20"/>
          <w:szCs w:val="20"/>
        </w:rPr>
        <w:t>articolo</w:t>
      </w:r>
      <w:r>
        <w:rPr>
          <w:rStyle w:val="apple-converted-space"/>
          <w:rFonts w:ascii="Arial" w:hAnsi="Arial" w:cs="Arial"/>
          <w:iCs/>
          <w:color w:val="0000FF"/>
          <w:sz w:val="20"/>
          <w:szCs w:val="20"/>
        </w:rPr>
        <w:t> </w:t>
      </w:r>
      <w:hyperlink r:id="rId57" w:history="1">
        <w:r>
          <w:rPr>
            <w:rStyle w:val="Collegamentoipertestuale"/>
            <w:rFonts w:ascii="Arial" w:hAnsi="Arial" w:cs="Arial"/>
            <w:iCs/>
            <w:sz w:val="20"/>
            <w:szCs w:val="20"/>
            <w:u w:val="none"/>
          </w:rPr>
          <w:t>16, comma 9</w:t>
        </w:r>
      </w:hyperlink>
      <w:r>
        <w:rPr>
          <w:rFonts w:ascii="Arial" w:hAnsi="Arial" w:cs="Arial"/>
          <w:iCs/>
          <w:color w:val="0000FF"/>
          <w:sz w:val="20"/>
          <w:szCs w:val="20"/>
        </w:rPr>
        <w:t>, del</w:t>
      </w:r>
      <w:r>
        <w:rPr>
          <w:rStyle w:val="apple-converted-space"/>
          <w:rFonts w:ascii="Arial" w:hAnsi="Arial" w:cs="Arial"/>
          <w:iCs/>
          <w:color w:val="0000FF"/>
          <w:sz w:val="20"/>
          <w:szCs w:val="20"/>
        </w:rPr>
        <w:t> </w:t>
      </w:r>
      <w:hyperlink r:id="rId58" w:history="1">
        <w:r>
          <w:rPr>
            <w:rStyle w:val="Collegamentoipertestuale"/>
            <w:rFonts w:ascii="Arial" w:hAnsi="Arial" w:cs="Arial"/>
            <w:iCs/>
            <w:sz w:val="20"/>
            <w:szCs w:val="20"/>
            <w:u w:val="none"/>
          </w:rPr>
          <w:t>decreto legge 6 luglio 2012, n. 95</w:t>
        </w:r>
      </w:hyperlink>
      <w:r>
        <w:rPr>
          <w:rFonts w:ascii="Arial" w:hAnsi="Arial" w:cs="Arial"/>
          <w:color w:val="0000FF"/>
          <w:sz w:val="20"/>
          <w:szCs w:val="20"/>
        </w:rPr>
        <w:t>, convertito, con modificazioni, dalla</w:t>
      </w:r>
      <w:r>
        <w:rPr>
          <w:rStyle w:val="apple-converted-space"/>
          <w:rFonts w:ascii="Arial" w:hAnsi="Arial" w:cs="Arial"/>
          <w:color w:val="0000FF"/>
          <w:sz w:val="20"/>
          <w:szCs w:val="20"/>
        </w:rPr>
        <w:t> </w:t>
      </w:r>
      <w:hyperlink r:id="rId59" w:history="1">
        <w:r>
          <w:rPr>
            <w:rStyle w:val="Collegamentoipertestuale"/>
            <w:rFonts w:ascii="Arial" w:hAnsi="Arial" w:cs="Arial"/>
            <w:iCs/>
            <w:sz w:val="20"/>
            <w:szCs w:val="20"/>
            <w:u w:val="none"/>
          </w:rPr>
          <w:t>legge 7 agosto 2012, n. 135</w:t>
        </w:r>
      </w:hyperlink>
      <w:r>
        <w:rPr>
          <w:rFonts w:ascii="Arial" w:hAnsi="Arial" w:cs="Arial"/>
          <w:color w:val="0000FF"/>
          <w:sz w:val="20"/>
          <w:szCs w:val="20"/>
        </w:rPr>
        <w:t>. La predetta facoltà ad assumere è fissata nella misura dell'80 per cento negli anni 2016 e 2017 e del 100 per cento a decorrere dall'anno 2018. Restano ferme le disposizioni previste dall'articolo 1, commi 557, 557-bis e 557-ter, della</w:t>
      </w:r>
      <w:r>
        <w:rPr>
          <w:rStyle w:val="apple-converted-space"/>
          <w:rFonts w:ascii="Arial" w:hAnsi="Arial" w:cs="Arial"/>
          <w:color w:val="0000FF"/>
          <w:sz w:val="20"/>
          <w:szCs w:val="20"/>
        </w:rPr>
        <w:t> </w:t>
      </w:r>
      <w:hyperlink r:id="rId60" w:history="1">
        <w:r>
          <w:rPr>
            <w:rStyle w:val="Collegamentoipertestuale"/>
            <w:rFonts w:ascii="Arial" w:hAnsi="Arial" w:cs="Arial"/>
            <w:iCs/>
            <w:sz w:val="20"/>
            <w:szCs w:val="20"/>
            <w:u w:val="none"/>
          </w:rPr>
          <w:t>legge 27 dicembre 2006, n. 296</w:t>
        </w:r>
      </w:hyperlink>
      <w:r>
        <w:rPr>
          <w:rFonts w:ascii="Arial" w:hAnsi="Arial" w:cs="Arial"/>
          <w:color w:val="0000FF"/>
          <w:sz w:val="20"/>
          <w:szCs w:val="20"/>
        </w:rPr>
        <w:t>. A decorrere dall'anno 2014 è consentito il cumulo delle risorse destinate alle assunzioni per un arco temporale non superiore a tre anni, nel rispetto della programmazione del fabbisogno e di quella finanziaria e contabile. L'</w:t>
      </w:r>
      <w:r>
        <w:rPr>
          <w:rFonts w:ascii="Arial" w:hAnsi="Arial" w:cs="Arial"/>
          <w:iCs/>
          <w:color w:val="0000FF"/>
          <w:sz w:val="20"/>
          <w:szCs w:val="20"/>
        </w:rPr>
        <w:t>articolo</w:t>
      </w:r>
      <w:r>
        <w:rPr>
          <w:rStyle w:val="apple-converted-space"/>
          <w:rFonts w:ascii="Arial" w:hAnsi="Arial" w:cs="Arial"/>
          <w:iCs/>
          <w:color w:val="0000FF"/>
          <w:sz w:val="20"/>
          <w:szCs w:val="20"/>
        </w:rPr>
        <w:t> </w:t>
      </w:r>
      <w:hyperlink r:id="rId61" w:history="1">
        <w:r>
          <w:rPr>
            <w:rStyle w:val="Collegamentoipertestuale"/>
            <w:rFonts w:ascii="Arial" w:hAnsi="Arial" w:cs="Arial"/>
            <w:iCs/>
            <w:sz w:val="20"/>
            <w:szCs w:val="20"/>
            <w:u w:val="none"/>
          </w:rPr>
          <w:t>76, comma 7</w:t>
        </w:r>
      </w:hyperlink>
      <w:r>
        <w:rPr>
          <w:rFonts w:ascii="Arial" w:hAnsi="Arial" w:cs="Arial"/>
          <w:iCs/>
          <w:color w:val="0000FF"/>
          <w:sz w:val="20"/>
          <w:szCs w:val="20"/>
        </w:rPr>
        <w:t>, del</w:t>
      </w:r>
      <w:r>
        <w:rPr>
          <w:rStyle w:val="apple-converted-space"/>
          <w:rFonts w:ascii="Arial" w:hAnsi="Arial" w:cs="Arial"/>
          <w:iCs/>
          <w:color w:val="0000FF"/>
          <w:sz w:val="20"/>
          <w:szCs w:val="20"/>
        </w:rPr>
        <w:t> </w:t>
      </w:r>
      <w:hyperlink r:id="rId62" w:history="1">
        <w:r>
          <w:rPr>
            <w:rStyle w:val="Collegamentoipertestuale"/>
            <w:rFonts w:ascii="Arial" w:hAnsi="Arial" w:cs="Arial"/>
            <w:iCs/>
            <w:sz w:val="20"/>
            <w:szCs w:val="20"/>
            <w:u w:val="none"/>
          </w:rPr>
          <w:t>decreto-legge 25 giugno 2008, n. 112</w:t>
        </w:r>
      </w:hyperlink>
      <w:r>
        <w:rPr>
          <w:rFonts w:ascii="Arial" w:hAnsi="Arial" w:cs="Arial"/>
          <w:color w:val="0000FF"/>
          <w:sz w:val="20"/>
          <w:szCs w:val="20"/>
        </w:rPr>
        <w:t>, convertito, con modificazioni, dalla</w:t>
      </w:r>
      <w:r>
        <w:rPr>
          <w:rStyle w:val="apple-converted-space"/>
          <w:rFonts w:ascii="Arial" w:hAnsi="Arial" w:cs="Arial"/>
          <w:color w:val="0000FF"/>
          <w:sz w:val="20"/>
          <w:szCs w:val="20"/>
        </w:rPr>
        <w:t> </w:t>
      </w:r>
      <w:hyperlink r:id="rId63" w:history="1">
        <w:r>
          <w:rPr>
            <w:rStyle w:val="Collegamentoipertestuale"/>
            <w:rFonts w:ascii="Arial" w:hAnsi="Arial" w:cs="Arial"/>
            <w:iCs/>
            <w:sz w:val="20"/>
            <w:szCs w:val="20"/>
            <w:u w:val="none"/>
          </w:rPr>
          <w:t>legge</w:t>
        </w:r>
      </w:hyperlink>
      <w:r>
        <w:rPr>
          <w:rFonts w:ascii="Arial" w:hAnsi="Arial" w:cs="Arial"/>
          <w:iCs/>
          <w:color w:val="0000FF"/>
          <w:sz w:val="20"/>
          <w:szCs w:val="20"/>
        </w:rPr>
        <w:t>)</w:t>
      </w:r>
    </w:p>
    <w:p w:rsidR="00457C6B" w:rsidRDefault="0047703E">
      <w:pPr>
        <w:numPr>
          <w:ilvl w:val="0"/>
          <w:numId w:val="13"/>
        </w:numPr>
        <w:tabs>
          <w:tab w:val="left" w:pos="360"/>
        </w:tabs>
        <w:spacing w:before="120"/>
        <w:ind w:left="357" w:hanging="357"/>
        <w:jc w:val="both"/>
        <w:rPr>
          <w:rFonts w:ascii="Arial" w:hAnsi="Arial" w:cs="Arial"/>
          <w:sz w:val="22"/>
          <w:szCs w:val="22"/>
        </w:rPr>
      </w:pPr>
      <w:r>
        <w:rPr>
          <w:rFonts w:ascii="Arial" w:hAnsi="Arial" w:cs="Arial"/>
          <w:sz w:val="22"/>
          <w:szCs w:val="22"/>
        </w:rPr>
        <w:t>dei vincoli disposti dall’1/1/2013 dall’art. 9, comma 28 del D.L. 78/2010 sulla spesa per personale a tempo determinato, con convenzioni o con contratti di collaborazione coordinata e continuativa;</w:t>
      </w:r>
    </w:p>
    <w:p w:rsidR="00457C6B" w:rsidRDefault="0047703E">
      <w:pPr>
        <w:numPr>
          <w:ilvl w:val="0"/>
          <w:numId w:val="13"/>
        </w:numPr>
        <w:tabs>
          <w:tab w:val="left" w:pos="360"/>
        </w:tabs>
        <w:spacing w:before="120"/>
        <w:ind w:left="357" w:hanging="357"/>
        <w:jc w:val="both"/>
        <w:rPr>
          <w:rFonts w:ascii="Arial" w:hAnsi="Arial" w:cs="Arial"/>
          <w:sz w:val="22"/>
          <w:szCs w:val="22"/>
        </w:rPr>
      </w:pPr>
      <w:r>
        <w:rPr>
          <w:rFonts w:ascii="Arial" w:hAnsi="Arial" w:cs="Arial"/>
          <w:sz w:val="22"/>
          <w:szCs w:val="22"/>
        </w:rPr>
        <w:t>dell’obbligo di riduzione della spesa di personale disposto dall’art. 1 comma 557 (</w:t>
      </w:r>
      <w:r>
        <w:rPr>
          <w:rFonts w:ascii="Arial" w:hAnsi="Arial" w:cs="Arial"/>
          <w:color w:val="0000FF"/>
          <w:sz w:val="20"/>
          <w:szCs w:val="20"/>
        </w:rPr>
        <w:t xml:space="preserve">o 562 per gli enti non soggetti al patto di stabilità) </w:t>
      </w:r>
      <w:r>
        <w:rPr>
          <w:rFonts w:ascii="Arial" w:hAnsi="Arial" w:cs="Arial"/>
          <w:sz w:val="22"/>
          <w:szCs w:val="22"/>
        </w:rPr>
        <w:t>della Legge 296/2006;</w:t>
      </w:r>
    </w:p>
    <w:p w:rsidR="00457C6B" w:rsidRDefault="0047703E">
      <w:pPr>
        <w:numPr>
          <w:ilvl w:val="0"/>
          <w:numId w:val="13"/>
        </w:numPr>
        <w:tabs>
          <w:tab w:val="left" w:pos="360"/>
        </w:tabs>
        <w:spacing w:before="120"/>
        <w:ind w:left="357" w:hanging="357"/>
        <w:jc w:val="both"/>
        <w:rPr>
          <w:rFonts w:ascii="Arial" w:hAnsi="Arial" w:cs="Arial"/>
          <w:sz w:val="22"/>
          <w:szCs w:val="22"/>
        </w:rPr>
      </w:pPr>
      <w:r>
        <w:rPr>
          <w:rFonts w:ascii="Arial" w:hAnsi="Arial" w:cs="Arial"/>
          <w:sz w:val="22"/>
          <w:szCs w:val="22"/>
        </w:rPr>
        <w:t xml:space="preserve">degli oneri relativi alla contrattazione decentrata previsti per euro </w:t>
      </w:r>
      <w:proofErr w:type="spellStart"/>
      <w:r>
        <w:rPr>
          <w:rFonts w:ascii="Arial" w:hAnsi="Arial" w:cs="Arial"/>
          <w:sz w:val="22"/>
          <w:szCs w:val="22"/>
        </w:rPr>
        <w:t>…………</w:t>
      </w:r>
      <w:proofErr w:type="spellEnd"/>
      <w:r>
        <w:rPr>
          <w:rFonts w:ascii="Arial" w:hAnsi="Arial" w:cs="Arial"/>
          <w:sz w:val="22"/>
          <w:szCs w:val="22"/>
        </w:rPr>
        <w:t>. pari al ….% delle spese dell’intervento 01.</w:t>
      </w:r>
    </w:p>
    <w:p w:rsidR="00457C6B" w:rsidRDefault="0047703E">
      <w:pPr>
        <w:pStyle w:val="BodyText21"/>
        <w:spacing w:before="120" w:after="0"/>
        <w:rPr>
          <w:rFonts w:cs="Arial"/>
          <w:b w:val="0"/>
          <w:i w:val="0"/>
          <w:sz w:val="22"/>
          <w:szCs w:val="22"/>
        </w:rPr>
      </w:pPr>
      <w:r>
        <w:rPr>
          <w:rFonts w:cs="Arial"/>
          <w:b w:val="0"/>
          <w:i w:val="0"/>
          <w:sz w:val="22"/>
          <w:szCs w:val="22"/>
        </w:rPr>
        <w:t>L’organo di revisione ha provveduto, ai sensi dell’articolo 19, punto 8, della Legge 448/2001, ad accertare che i documenti di programmazione del fabbisogno di personale siano improntati al rispetto del principio di riduzione complessiva della spesa, previsto dall’articolo 39 della Legge n. 449/1997.</w:t>
      </w:r>
    </w:p>
    <w:p w:rsidR="00457C6B" w:rsidRDefault="0047703E">
      <w:pPr>
        <w:pStyle w:val="BodyText21"/>
        <w:spacing w:before="120" w:after="0"/>
        <w:rPr>
          <w:rFonts w:cs="Arial"/>
          <w:b w:val="0"/>
          <w:i w:val="0"/>
          <w:sz w:val="22"/>
          <w:szCs w:val="22"/>
        </w:rPr>
      </w:pPr>
      <w:r>
        <w:rPr>
          <w:rFonts w:cs="Arial"/>
          <w:b w:val="0"/>
          <w:i w:val="0"/>
          <w:sz w:val="22"/>
          <w:szCs w:val="22"/>
        </w:rPr>
        <w:t xml:space="preserve">L’organo di revisione ha altresì accertato come richiesto dal comma 10 bis </w:t>
      </w:r>
      <w:proofErr w:type="spellStart"/>
      <w:r>
        <w:rPr>
          <w:rFonts w:cs="Arial"/>
          <w:b w:val="0"/>
          <w:i w:val="0"/>
          <w:sz w:val="22"/>
          <w:szCs w:val="22"/>
        </w:rPr>
        <w:t>dellart</w:t>
      </w:r>
      <w:proofErr w:type="spellEnd"/>
      <w:r>
        <w:rPr>
          <w:rFonts w:cs="Arial"/>
          <w:b w:val="0"/>
          <w:i w:val="0"/>
          <w:sz w:val="22"/>
          <w:szCs w:val="22"/>
        </w:rPr>
        <w:t>. 3 del d.l. 90/2014:</w:t>
      </w:r>
    </w:p>
    <w:p w:rsidR="00457C6B" w:rsidRDefault="0047703E">
      <w:pPr>
        <w:pStyle w:val="BodyText21"/>
        <w:numPr>
          <w:ilvl w:val="0"/>
          <w:numId w:val="32"/>
        </w:numPr>
        <w:spacing w:before="120" w:after="0"/>
        <w:rPr>
          <w:rFonts w:cs="Arial"/>
          <w:b w:val="0"/>
          <w:i w:val="0"/>
          <w:sz w:val="22"/>
          <w:szCs w:val="22"/>
        </w:rPr>
      </w:pPr>
      <w:r>
        <w:rPr>
          <w:rFonts w:cs="Arial"/>
          <w:b w:val="0"/>
          <w:i w:val="0"/>
          <w:sz w:val="22"/>
          <w:szCs w:val="22"/>
        </w:rPr>
        <w:t>il rispetto del limite delle assunzione disposto dall’art.3, comma 5 del d.l. 90/2014;</w:t>
      </w:r>
    </w:p>
    <w:p w:rsidR="00457C6B" w:rsidRDefault="0047703E">
      <w:pPr>
        <w:pStyle w:val="BodyText21"/>
        <w:numPr>
          <w:ilvl w:val="0"/>
          <w:numId w:val="32"/>
        </w:numPr>
        <w:spacing w:before="120" w:after="0"/>
        <w:rPr>
          <w:rFonts w:cs="Arial"/>
          <w:b w:val="0"/>
          <w:i w:val="0"/>
          <w:sz w:val="22"/>
          <w:szCs w:val="22"/>
        </w:rPr>
      </w:pPr>
      <w:r>
        <w:rPr>
          <w:rFonts w:cs="Arial"/>
          <w:b w:val="0"/>
          <w:i w:val="0"/>
          <w:sz w:val="22"/>
          <w:szCs w:val="22"/>
        </w:rPr>
        <w:t>il rispetto del contenimento della spesa di personale disposto dal comma 5 bis dell’art. 3 del citato d.l. 90/2014;</w:t>
      </w:r>
    </w:p>
    <w:p w:rsidR="00457C6B" w:rsidRDefault="0047703E">
      <w:pPr>
        <w:pStyle w:val="BodyText21"/>
        <w:spacing w:before="120" w:after="0"/>
        <w:rPr>
          <w:rFonts w:cs="Arial"/>
          <w:b w:val="0"/>
          <w:i w:val="0"/>
          <w:sz w:val="22"/>
          <w:szCs w:val="22"/>
        </w:rPr>
      </w:pPr>
      <w:r>
        <w:rPr>
          <w:rFonts w:cs="Arial"/>
          <w:b w:val="0"/>
          <w:i w:val="0"/>
          <w:sz w:val="22"/>
          <w:szCs w:val="22"/>
        </w:rPr>
        <w:t>Gli oneri della contrattazione decentrata previsti per gli anni dal 2015 al 2017, non superano il corrispondente importo impegnato per l’anno 2010 e sono automaticamente ridotti in misura proporzionale alla riduzione del personale in servizio, come disposto dall’art.9 del D.L. 78/2010.</w:t>
      </w:r>
    </w:p>
    <w:p w:rsidR="00457C6B" w:rsidRDefault="0047703E">
      <w:pPr>
        <w:pStyle w:val="BodyText21"/>
        <w:spacing w:before="120" w:after="0"/>
        <w:rPr>
          <w:rFonts w:cs="Arial"/>
          <w:b w:val="0"/>
          <w:i w:val="0"/>
          <w:sz w:val="22"/>
          <w:szCs w:val="22"/>
        </w:rPr>
      </w:pPr>
      <w:r>
        <w:rPr>
          <w:rFonts w:cs="Arial"/>
          <w:b w:val="0"/>
          <w:i w:val="0"/>
          <w:sz w:val="22"/>
          <w:szCs w:val="22"/>
        </w:rPr>
        <w:t>Il trattamento economico complessivo previsto per gli anni dal 2015 al 2017 per i singoli dipendenti, ivi compreso il trattamento economico accessorio, non supera il trattamento economico spettante per l’anno 2010, come disposto dall’art.9, comma 1 del D.L. 78/2010..</w:t>
      </w:r>
    </w:p>
    <w:p w:rsidR="00457C6B" w:rsidRDefault="00457C6B">
      <w:pPr>
        <w:pStyle w:val="BodyText21"/>
        <w:spacing w:before="120" w:after="0"/>
        <w:rPr>
          <w:rFonts w:cs="Arial"/>
          <w:b w:val="0"/>
          <w:i w:val="0"/>
          <w:sz w:val="22"/>
          <w:szCs w:val="22"/>
        </w:rPr>
      </w:pPr>
    </w:p>
    <w:p w:rsidR="00457C6B" w:rsidRDefault="0047703E">
      <w:pPr>
        <w:pStyle w:val="BodyText21"/>
        <w:pBdr>
          <w:top w:val="outset" w:sz="6" w:space="1" w:color="auto"/>
          <w:left w:val="outset" w:sz="6" w:space="4" w:color="auto"/>
          <w:bottom w:val="inset" w:sz="6" w:space="1" w:color="auto"/>
          <w:right w:val="inset" w:sz="6" w:space="4" w:color="auto"/>
        </w:pBdr>
        <w:spacing w:before="120" w:after="0"/>
        <w:jc w:val="center"/>
        <w:rPr>
          <w:rFonts w:cs="Arial"/>
          <w:b w:val="0"/>
          <w:i w:val="0"/>
          <w:color w:val="0000FF"/>
          <w:sz w:val="22"/>
        </w:rPr>
      </w:pPr>
      <w:r>
        <w:rPr>
          <w:rFonts w:cs="Arial"/>
          <w:b w:val="0"/>
          <w:i w:val="0"/>
          <w:color w:val="0000FF"/>
          <w:sz w:val="20"/>
          <w:szCs w:val="18"/>
        </w:rPr>
        <w:t>(Nel caso di esternalizzazione di servizi nel 2014)</w:t>
      </w:r>
    </w:p>
    <w:p w:rsidR="00457C6B" w:rsidRDefault="0047703E">
      <w:pPr>
        <w:pStyle w:val="BodyText21"/>
        <w:pBdr>
          <w:top w:val="outset" w:sz="6" w:space="1" w:color="auto"/>
          <w:left w:val="outset" w:sz="6" w:space="4" w:color="auto"/>
          <w:bottom w:val="inset" w:sz="6" w:space="1" w:color="auto"/>
          <w:right w:val="inset" w:sz="6" w:space="4" w:color="auto"/>
        </w:pBdr>
        <w:spacing w:before="120" w:after="0"/>
        <w:rPr>
          <w:rFonts w:cs="Arial"/>
          <w:b w:val="0"/>
          <w:i w:val="0"/>
          <w:color w:val="0000FF"/>
          <w:sz w:val="20"/>
        </w:rPr>
      </w:pPr>
      <w:r>
        <w:rPr>
          <w:rFonts w:cs="Arial"/>
          <w:b w:val="0"/>
          <w:i w:val="0"/>
          <w:sz w:val="20"/>
        </w:rPr>
        <w:t xml:space="preserve">L’ente avendo </w:t>
      </w:r>
      <w:proofErr w:type="spellStart"/>
      <w:r>
        <w:rPr>
          <w:rFonts w:cs="Arial"/>
          <w:b w:val="0"/>
          <w:i w:val="0"/>
          <w:sz w:val="20"/>
        </w:rPr>
        <w:t>esternalizzato</w:t>
      </w:r>
      <w:proofErr w:type="spellEnd"/>
      <w:r>
        <w:rPr>
          <w:rFonts w:cs="Arial"/>
          <w:b w:val="0"/>
          <w:i w:val="0"/>
          <w:sz w:val="20"/>
        </w:rPr>
        <w:t xml:space="preserve"> nell’anno 2014, i servizi </w:t>
      </w:r>
      <w:proofErr w:type="spellStart"/>
      <w:r>
        <w:rPr>
          <w:rFonts w:cs="Arial"/>
          <w:b w:val="0"/>
          <w:i w:val="0"/>
          <w:sz w:val="20"/>
        </w:rPr>
        <w:t>……………</w:t>
      </w:r>
      <w:proofErr w:type="spellEnd"/>
      <w:r>
        <w:rPr>
          <w:rFonts w:cs="Arial"/>
          <w:b w:val="0"/>
          <w:i w:val="0"/>
          <w:sz w:val="20"/>
        </w:rPr>
        <w:t xml:space="preserve">.. ha provveduto ai sensi dell’art.3, commi 30,31 e 32 della Legge 244/2007, a rideterminare la dotazione organica. L’organo di revisione ha asseverato il trasferimento di risorse umane e finanziarie con verbale </w:t>
      </w:r>
      <w:proofErr w:type="spellStart"/>
      <w:r>
        <w:rPr>
          <w:rFonts w:cs="Arial"/>
          <w:b w:val="0"/>
          <w:i w:val="0"/>
          <w:sz w:val="20"/>
        </w:rPr>
        <w:t>n……</w:t>
      </w:r>
      <w:proofErr w:type="spellEnd"/>
      <w:r>
        <w:rPr>
          <w:rFonts w:cs="Arial"/>
          <w:b w:val="0"/>
          <w:i w:val="0"/>
          <w:sz w:val="20"/>
        </w:rPr>
        <w:t xml:space="preserve"> del </w:t>
      </w:r>
      <w:proofErr w:type="spellStart"/>
      <w:r>
        <w:rPr>
          <w:rFonts w:cs="Arial"/>
          <w:b w:val="0"/>
          <w:i w:val="0"/>
          <w:sz w:val="20"/>
        </w:rPr>
        <w:t>………</w:t>
      </w:r>
      <w:proofErr w:type="spellEnd"/>
      <w:r>
        <w:rPr>
          <w:rFonts w:cs="Arial"/>
          <w:b w:val="0"/>
          <w:i w:val="0"/>
          <w:sz w:val="20"/>
        </w:rPr>
        <w:t xml:space="preserve"> ed a trasmettere una relazione al Dipartimento della funzione pubblica e al Ministro dell’Economia. (</w:t>
      </w:r>
      <w:r>
        <w:rPr>
          <w:rFonts w:cs="Arial"/>
          <w:b w:val="0"/>
          <w:i w:val="0"/>
          <w:color w:val="0000FF"/>
          <w:sz w:val="20"/>
        </w:rPr>
        <w:t xml:space="preserve">eventuale: L’organo di </w:t>
      </w:r>
      <w:r>
        <w:rPr>
          <w:rFonts w:cs="Arial"/>
          <w:b w:val="0"/>
          <w:i w:val="0"/>
          <w:color w:val="0000FF"/>
          <w:sz w:val="20"/>
        </w:rPr>
        <w:lastRenderedPageBreak/>
        <w:t xml:space="preserve">revisione ha segnalato i seguenti inadempimenti alla Sezione regionale della Corte dei Conti </w:t>
      </w:r>
      <w:proofErr w:type="spellStart"/>
      <w:r>
        <w:rPr>
          <w:rFonts w:cs="Arial"/>
          <w:b w:val="0"/>
          <w:i w:val="0"/>
          <w:color w:val="0000FF"/>
          <w:sz w:val="20"/>
        </w:rPr>
        <w:t>…………</w:t>
      </w:r>
      <w:proofErr w:type="spellEnd"/>
      <w:r>
        <w:rPr>
          <w:rFonts w:cs="Arial"/>
          <w:b w:val="0"/>
          <w:i w:val="0"/>
          <w:color w:val="0000FF"/>
          <w:sz w:val="20"/>
        </w:rPr>
        <w:t>..)</w:t>
      </w:r>
    </w:p>
    <w:p w:rsidR="00457C6B" w:rsidRDefault="00457C6B">
      <w:pPr>
        <w:rPr>
          <w:rFonts w:ascii="Arial" w:hAnsi="Arial" w:cs="Arial"/>
          <w:sz w:val="20"/>
        </w:rPr>
      </w:pPr>
    </w:p>
    <w:p w:rsidR="00457C6B" w:rsidRDefault="0047703E">
      <w:pPr>
        <w:pBdr>
          <w:top w:val="outset" w:sz="6" w:space="1" w:color="auto"/>
          <w:left w:val="outset" w:sz="6" w:space="4" w:color="auto"/>
          <w:bottom w:val="inset" w:sz="6" w:space="1" w:color="auto"/>
          <w:right w:val="inset" w:sz="6" w:space="4" w:color="auto"/>
        </w:pBdr>
        <w:rPr>
          <w:rFonts w:ascii="Arial" w:hAnsi="Arial" w:cs="Arial"/>
          <w:i/>
          <w:sz w:val="20"/>
          <w:szCs w:val="20"/>
        </w:rPr>
      </w:pPr>
      <w:r>
        <w:rPr>
          <w:rFonts w:ascii="Arial" w:hAnsi="Arial" w:cs="Arial"/>
          <w:sz w:val="20"/>
        </w:rPr>
        <w:t xml:space="preserve">L’ente avendo deciso di acquisire sul mercato servizi originariamente prodotti all’interno ha adottato ai sensi dell’art. 6 bis del </w:t>
      </w:r>
      <w:proofErr w:type="spellStart"/>
      <w:r>
        <w:rPr>
          <w:rFonts w:ascii="Arial" w:hAnsi="Arial" w:cs="Arial"/>
          <w:sz w:val="20"/>
        </w:rPr>
        <w:t>D.Lgs.</w:t>
      </w:r>
      <w:proofErr w:type="spellEnd"/>
      <w:r>
        <w:rPr>
          <w:rFonts w:ascii="Arial" w:hAnsi="Arial" w:cs="Arial"/>
          <w:sz w:val="20"/>
        </w:rPr>
        <w:t xml:space="preserve"> 165/2001, aggiunto dall’art.22 della Legge 18/6/2009, n.69, le necessarie misure di congelamento dei posti e di temporanea riduzione dei fondi della contrattazione decentrata, fermi restano i conseguenti processi di rideterminazione delle dotazioni organiche, di riallocazione e di mobilità del personale.</w:t>
      </w:r>
      <w:r>
        <w:rPr>
          <w:rFonts w:ascii="Arial" w:hAnsi="Arial" w:cs="Arial"/>
          <w:i/>
          <w:sz w:val="20"/>
          <w:szCs w:val="20"/>
        </w:rPr>
        <w:t xml:space="preserve"> (</w:t>
      </w:r>
      <w:r>
        <w:rPr>
          <w:rFonts w:ascii="Arial" w:hAnsi="Arial" w:cs="Arial"/>
          <w:b/>
          <w:color w:val="0000FF"/>
          <w:sz w:val="18"/>
          <w:szCs w:val="18"/>
        </w:rPr>
        <w:t>L’organo di revisione deve vigilare sui processi attivati ed evidenziare nei propri verbali i risparmi effettivamente ottenuti</w:t>
      </w:r>
      <w:r>
        <w:rPr>
          <w:rFonts w:ascii="Arial" w:hAnsi="Arial" w:cs="Arial"/>
          <w:color w:val="0000FF"/>
          <w:sz w:val="20"/>
          <w:szCs w:val="20"/>
        </w:rPr>
        <w:t>)</w:t>
      </w:r>
    </w:p>
    <w:p w:rsidR="00457C6B" w:rsidRDefault="00457C6B">
      <w:pPr>
        <w:rPr>
          <w:rFonts w:ascii="Arial" w:hAnsi="Arial" w:cs="Arial"/>
          <w:b/>
          <w:sz w:val="20"/>
        </w:rPr>
      </w:pPr>
    </w:p>
    <w:p w:rsidR="00457C6B" w:rsidRDefault="00457C6B">
      <w:pPr>
        <w:rPr>
          <w:rFonts w:ascii="Arial" w:hAnsi="Arial" w:cs="Arial"/>
          <w:b/>
          <w:sz w:val="20"/>
        </w:rPr>
      </w:pPr>
    </w:p>
    <w:p w:rsidR="00457C6B" w:rsidRDefault="00457C6B">
      <w:pPr>
        <w:rPr>
          <w:rFonts w:ascii="Arial" w:hAnsi="Arial" w:cs="Arial"/>
          <w:b/>
          <w:sz w:val="20"/>
        </w:rPr>
      </w:pPr>
    </w:p>
    <w:p w:rsidR="00457C6B" w:rsidRDefault="0047703E">
      <w:pPr>
        <w:pStyle w:val="Titolo3"/>
      </w:pPr>
      <w:r>
        <w:t>Limitazione spese di personale</w:t>
      </w:r>
    </w:p>
    <w:p w:rsidR="00457C6B" w:rsidRDefault="00457C6B">
      <w:pPr>
        <w:rPr>
          <w:rFonts w:ascii="Arial" w:hAnsi="Arial" w:cs="Arial"/>
          <w:b/>
          <w:sz w:val="22"/>
          <w:szCs w:val="22"/>
        </w:rPr>
      </w:pPr>
    </w:p>
    <w:p w:rsidR="00457C6B" w:rsidRDefault="0047703E">
      <w:pPr>
        <w:jc w:val="both"/>
        <w:rPr>
          <w:rFonts w:ascii="Arial" w:hAnsi="Arial" w:cs="Arial"/>
          <w:sz w:val="22"/>
          <w:szCs w:val="22"/>
        </w:rPr>
      </w:pPr>
      <w:r>
        <w:rPr>
          <w:rFonts w:ascii="Arial" w:hAnsi="Arial" w:cs="Arial"/>
          <w:sz w:val="22"/>
          <w:szCs w:val="22"/>
        </w:rPr>
        <w:t xml:space="preserve">Le spese di personale, come definite dall’art.1, comma 557 </w:t>
      </w:r>
      <w:r>
        <w:rPr>
          <w:rFonts w:ascii="Arial" w:hAnsi="Arial" w:cs="Arial"/>
          <w:color w:val="0000FF"/>
          <w:sz w:val="20"/>
          <w:szCs w:val="20"/>
        </w:rPr>
        <w:t>(o comma 562</w:t>
      </w:r>
      <w:r>
        <w:rPr>
          <w:rFonts w:ascii="Arial" w:hAnsi="Arial" w:cs="Arial"/>
          <w:sz w:val="22"/>
          <w:szCs w:val="22"/>
        </w:rPr>
        <w:t>) della Legge 296/2006, subiscono la seguente variazione:</w:t>
      </w:r>
    </w:p>
    <w:p w:rsidR="00B31F1F" w:rsidRDefault="00B31F1F">
      <w:pPr>
        <w:jc w:val="both"/>
        <w:rPr>
          <w:rFonts w:ascii="Arial" w:hAnsi="Arial" w:cs="Arial"/>
          <w:sz w:val="22"/>
          <w:szCs w:val="22"/>
        </w:rPr>
      </w:pPr>
      <w:r w:rsidRPr="00B771D5">
        <w:rPr>
          <w:rFonts w:ascii="Arial" w:hAnsi="Arial" w:cs="Arial"/>
          <w:sz w:val="22"/>
          <w:szCs w:val="22"/>
        </w:rPr>
        <w:object w:dxaOrig="5443" w:dyaOrig="1759">
          <v:shape id="_x0000_i1048" type="#_x0000_t75" style="width:272.4pt;height:87.6pt" o:ole="">
            <v:imagedata r:id="rId64" o:title=""/>
          </v:shape>
          <o:OLEObject Type="Embed" ProgID="Excel.Sheet.8" ShapeID="_x0000_i1048" DrawAspect="Content" ObjectID="_1484374349" r:id="rId65"/>
        </w:object>
      </w:r>
    </w:p>
    <w:p w:rsidR="00457C6B" w:rsidRDefault="00457C6B">
      <w:pPr>
        <w:jc w:val="both"/>
        <w:rPr>
          <w:rFonts w:ascii="Arial" w:hAnsi="Arial" w:cs="Arial"/>
          <w:sz w:val="22"/>
          <w:szCs w:val="22"/>
        </w:rPr>
      </w:pPr>
    </w:p>
    <w:p w:rsidR="00457C6B" w:rsidRDefault="00457C6B">
      <w:pPr>
        <w:jc w:val="both"/>
        <w:rPr>
          <w:rFonts w:ascii="Arial" w:hAnsi="Arial" w:cs="Arial"/>
          <w:sz w:val="22"/>
          <w:szCs w:val="22"/>
        </w:rPr>
      </w:pPr>
    </w:p>
    <w:p w:rsidR="00457C6B" w:rsidRDefault="0047703E">
      <w:pPr>
        <w:jc w:val="both"/>
        <w:rPr>
          <w:rFonts w:ascii="Arial" w:hAnsi="Arial" w:cs="Arial"/>
          <w:color w:val="0000FF"/>
          <w:sz w:val="20"/>
          <w:szCs w:val="20"/>
        </w:rPr>
      </w:pPr>
      <w:r>
        <w:rPr>
          <w:rFonts w:ascii="Arial" w:hAnsi="Arial" w:cs="Arial"/>
          <w:color w:val="0000FF"/>
          <w:sz w:val="20"/>
          <w:szCs w:val="20"/>
        </w:rPr>
        <w:t>(La Corte dei Conti - Sezione autonomie - con delibera n.16/AUT/2009 del 9 novembre 2009 ha precisato che ai fini della corretta interpretazione delle disposizioni di cui all’art 1, commi 557 e 562, della Legge 27 dicembre 2006, n. 296, nelle “spese di personale” non debbono essere computati:</w:t>
      </w:r>
    </w:p>
    <w:p w:rsidR="00457C6B" w:rsidRDefault="0047703E">
      <w:pPr>
        <w:numPr>
          <w:ilvl w:val="0"/>
          <w:numId w:val="25"/>
        </w:numPr>
        <w:jc w:val="both"/>
        <w:rPr>
          <w:rFonts w:ascii="Arial" w:hAnsi="Arial" w:cs="Arial"/>
          <w:color w:val="0000FF"/>
          <w:sz w:val="20"/>
          <w:szCs w:val="20"/>
        </w:rPr>
      </w:pPr>
      <w:r>
        <w:rPr>
          <w:rFonts w:ascii="Arial" w:hAnsi="Arial" w:cs="Arial"/>
          <w:color w:val="0000FF"/>
          <w:sz w:val="20"/>
          <w:szCs w:val="20"/>
        </w:rPr>
        <w:t xml:space="preserve">gli incentivi per la progettazione interna, di cui all’art. 92 del </w:t>
      </w:r>
      <w:proofErr w:type="spellStart"/>
      <w:r>
        <w:rPr>
          <w:rFonts w:ascii="Arial" w:hAnsi="Arial" w:cs="Arial"/>
          <w:color w:val="0000FF"/>
          <w:sz w:val="20"/>
          <w:szCs w:val="20"/>
        </w:rPr>
        <w:t>D.Lgs.</w:t>
      </w:r>
      <w:proofErr w:type="spellEnd"/>
      <w:r>
        <w:rPr>
          <w:rFonts w:ascii="Arial" w:hAnsi="Arial" w:cs="Arial"/>
          <w:color w:val="0000FF"/>
          <w:sz w:val="20"/>
          <w:szCs w:val="20"/>
        </w:rPr>
        <w:t xml:space="preserve"> 12 aprile 2006, n. 163 (cd. “Codice dei contratti”);</w:t>
      </w:r>
    </w:p>
    <w:p w:rsidR="00457C6B" w:rsidRDefault="0047703E">
      <w:pPr>
        <w:numPr>
          <w:ilvl w:val="0"/>
          <w:numId w:val="25"/>
        </w:numPr>
        <w:jc w:val="both"/>
        <w:rPr>
          <w:rFonts w:ascii="Arial" w:hAnsi="Arial" w:cs="Arial"/>
          <w:color w:val="0000FF"/>
          <w:sz w:val="20"/>
          <w:szCs w:val="20"/>
        </w:rPr>
      </w:pPr>
      <w:r>
        <w:rPr>
          <w:rFonts w:ascii="Arial" w:hAnsi="Arial" w:cs="Arial"/>
          <w:color w:val="0000FF"/>
          <w:sz w:val="20"/>
          <w:szCs w:val="20"/>
        </w:rPr>
        <w:t>i diritti di rogito, spettanti ai segretari comunali;</w:t>
      </w:r>
    </w:p>
    <w:p w:rsidR="00457C6B" w:rsidRDefault="0047703E">
      <w:pPr>
        <w:numPr>
          <w:ilvl w:val="0"/>
          <w:numId w:val="25"/>
        </w:numPr>
        <w:jc w:val="both"/>
        <w:rPr>
          <w:rFonts w:ascii="Arial" w:hAnsi="Arial" w:cs="Arial"/>
          <w:color w:val="0000FF"/>
          <w:sz w:val="20"/>
          <w:szCs w:val="20"/>
        </w:rPr>
      </w:pPr>
      <w:r>
        <w:rPr>
          <w:rFonts w:ascii="Arial" w:hAnsi="Arial" w:cs="Arial"/>
          <w:color w:val="0000FF"/>
          <w:sz w:val="20"/>
          <w:szCs w:val="20"/>
        </w:rPr>
        <w:t>gli incentivi per il recupero dell’ICI)</w:t>
      </w:r>
    </w:p>
    <w:p w:rsidR="00457C6B" w:rsidRDefault="00457C6B">
      <w:pPr>
        <w:jc w:val="both"/>
        <w:rPr>
          <w:rFonts w:ascii="Arial" w:hAnsi="Arial" w:cs="Arial"/>
          <w:color w:val="0070C0"/>
          <w:sz w:val="18"/>
          <w:szCs w:val="16"/>
        </w:rPr>
      </w:pPr>
    </w:p>
    <w:p w:rsidR="00457C6B" w:rsidRDefault="0047703E">
      <w:pPr>
        <w:rPr>
          <w:rFonts w:ascii="Arial" w:hAnsi="Arial" w:cs="Arial"/>
          <w:sz w:val="22"/>
          <w:szCs w:val="22"/>
        </w:rPr>
      </w:pPr>
      <w:r>
        <w:rPr>
          <w:rFonts w:ascii="Arial" w:hAnsi="Arial" w:cs="Arial"/>
          <w:sz w:val="22"/>
          <w:szCs w:val="22"/>
        </w:rPr>
        <w:t xml:space="preserve">Tali spese sono così distinte ed hanno la seguente incidenza: </w:t>
      </w:r>
    </w:p>
    <w:p w:rsidR="00B31F1F" w:rsidRDefault="00B31F1F">
      <w:pPr>
        <w:rPr>
          <w:rFonts w:ascii="Arial" w:hAnsi="Arial" w:cs="Arial"/>
          <w:sz w:val="22"/>
          <w:szCs w:val="22"/>
        </w:rPr>
      </w:pPr>
      <w:r w:rsidRPr="00B771D5">
        <w:rPr>
          <w:rFonts w:ascii="Arial" w:hAnsi="Arial" w:cs="Arial"/>
          <w:sz w:val="22"/>
          <w:szCs w:val="22"/>
        </w:rPr>
        <w:object w:dxaOrig="10120" w:dyaOrig="3760">
          <v:shape id="_x0000_i1049" type="#_x0000_t75" style="width:506.05pt;height:188.15pt" o:ole="">
            <v:imagedata r:id="rId66" o:title=""/>
          </v:shape>
          <o:OLEObject Type="Embed" ProgID="Excel.Sheet.8" ShapeID="_x0000_i1049" DrawAspect="Content" ObjectID="_1484374350" r:id="rId67"/>
        </w:object>
      </w:r>
    </w:p>
    <w:p w:rsidR="00AB4CC5" w:rsidRDefault="00AB4CC5">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b/>
          <w:sz w:val="22"/>
          <w:szCs w:val="22"/>
        </w:rPr>
      </w:pPr>
    </w:p>
    <w:p w:rsidR="00457C6B" w:rsidRDefault="0047703E">
      <w:pPr>
        <w:pStyle w:val="Titolo3"/>
      </w:pPr>
      <w:r>
        <w:t>Limitazione trattamento accessorio</w:t>
      </w:r>
    </w:p>
    <w:p w:rsidR="00457C6B" w:rsidRDefault="0047703E">
      <w:pPr>
        <w:jc w:val="both"/>
        <w:rPr>
          <w:rFonts w:ascii="Arial" w:hAnsi="Arial" w:cs="Arial"/>
          <w:sz w:val="22"/>
          <w:szCs w:val="22"/>
        </w:rPr>
      </w:pPr>
      <w:r>
        <w:rPr>
          <w:rFonts w:ascii="Arial" w:hAnsi="Arial" w:cs="Arial"/>
          <w:sz w:val="22"/>
          <w:szCs w:val="22"/>
        </w:rPr>
        <w:t>L’ammontare delle somme destinate al trattamento accessorio previste in bilancio non superano il corrispondente ammontare dell’esercizio 2010 ridotto annualmente in misura proporzionale all’eventuale riduzione del personale in servizio come disposto dal comma 2 bis dell’art. 9 del D.L. 78/2010.</w:t>
      </w:r>
    </w:p>
    <w:p w:rsidR="00457C6B" w:rsidRDefault="00457C6B">
      <w:pPr>
        <w:jc w:val="both"/>
        <w:rPr>
          <w:rFonts w:ascii="Verdana" w:hAnsi="Verdana"/>
          <w:color w:val="000000"/>
          <w:sz w:val="16"/>
        </w:rPr>
      </w:pPr>
    </w:p>
    <w:p w:rsidR="00457C6B" w:rsidRDefault="0047703E">
      <w:pPr>
        <w:jc w:val="both"/>
        <w:rPr>
          <w:rFonts w:ascii="Arial" w:hAnsi="Arial" w:cs="Arial"/>
          <w:color w:val="0000FF"/>
          <w:sz w:val="20"/>
          <w:szCs w:val="20"/>
        </w:rPr>
      </w:pPr>
      <w:r>
        <w:rPr>
          <w:rFonts w:ascii="Arial" w:hAnsi="Arial" w:cs="Arial"/>
          <w:color w:val="0000FF"/>
          <w:sz w:val="20"/>
          <w:szCs w:val="20"/>
        </w:rPr>
        <w:t>(2-bis.  A decorrere dal 1° gennaio 2011 e sino al 31 dicembre 2014 l’ammontare complessivo delle risorse destinate annualmente al trattamento accessorio del personale, anche di livello dirigenziale, di ciascuna delle amministrazioni di cui all’ </w:t>
      </w:r>
      <w:r>
        <w:rPr>
          <w:rFonts w:ascii="Arial" w:hAnsi="Arial" w:cs="Arial"/>
          <w:iCs/>
          <w:color w:val="0000FF"/>
          <w:sz w:val="20"/>
          <w:szCs w:val="20"/>
        </w:rPr>
        <w:t>articolo 1, comma 2, del decreto legislativo 30 marzo 2001, n. 165</w:t>
      </w:r>
      <w:r>
        <w:rPr>
          <w:rFonts w:ascii="Arial" w:hAnsi="Arial" w:cs="Arial"/>
          <w:color w:val="0000FF"/>
          <w:sz w:val="20"/>
          <w:szCs w:val="20"/>
        </w:rPr>
        <w:t>, non può superare il corrispondente importo dell’anno 2010 ed è, comunque, automaticamente ridotto in misura proporzionale alla riduzione del personale in servizio. A decorrere dal 1° gennaio 2015, le risorse destinate annualmente al trattamento economico accessorio sono decurtate di un importo pari alle riduzioni operate per effetto del precedente periodo)</w:t>
      </w:r>
    </w:p>
    <w:p w:rsidR="00457C6B" w:rsidRDefault="00457C6B">
      <w:pPr>
        <w:rPr>
          <w:rFonts w:ascii="Arial" w:hAnsi="Arial" w:cs="Arial"/>
          <w:color w:val="0000FF"/>
          <w:sz w:val="20"/>
          <w:szCs w:val="20"/>
        </w:rPr>
      </w:pPr>
    </w:p>
    <w:p w:rsidR="00457C6B" w:rsidRDefault="0047703E">
      <w:pPr>
        <w:jc w:val="both"/>
        <w:rPr>
          <w:rFonts w:ascii="Arial" w:hAnsi="Arial" w:cs="Arial"/>
          <w:color w:val="0000FF"/>
          <w:sz w:val="20"/>
          <w:szCs w:val="20"/>
        </w:rPr>
      </w:pPr>
      <w:r>
        <w:rPr>
          <w:rFonts w:ascii="Arial" w:hAnsi="Arial" w:cs="Arial"/>
          <w:color w:val="0000FF"/>
          <w:sz w:val="20"/>
          <w:szCs w:val="20"/>
        </w:rPr>
        <w:t xml:space="preserve">(la Corte dei conti- sezioni riunite- con </w:t>
      </w:r>
      <w:hyperlink r:id="rId68" w:history="1">
        <w:r>
          <w:rPr>
            <w:rStyle w:val="Collegamentoipertestuale"/>
            <w:rFonts w:ascii="Arial" w:hAnsi="Arial" w:cs="Arial"/>
            <w:sz w:val="20"/>
            <w:szCs w:val="20"/>
          </w:rPr>
          <w:t>delibera n.51 del 4/10/2011</w:t>
        </w:r>
      </w:hyperlink>
      <w:r>
        <w:rPr>
          <w:rFonts w:ascii="Arial" w:hAnsi="Arial" w:cs="Arial"/>
          <w:color w:val="0000FF"/>
          <w:sz w:val="20"/>
          <w:szCs w:val="20"/>
        </w:rPr>
        <w:t xml:space="preserve"> ha chiarito che sono escluse dal blocco di aumento solo le somme relative alle progettazioni interne ed all’avvocatura, mentre sono incluse le somme correlate agli incentivi per recupero Ici, per sponsorizzazioni).</w:t>
      </w:r>
    </w:p>
    <w:p w:rsidR="00457C6B" w:rsidRDefault="00457C6B">
      <w:pPr>
        <w:rPr>
          <w:rFonts w:ascii="Arial" w:hAnsi="Arial" w:cs="Arial"/>
          <w:i/>
          <w:color w:val="0000FF"/>
          <w:sz w:val="20"/>
          <w:szCs w:val="20"/>
        </w:rPr>
      </w:pPr>
    </w:p>
    <w:p w:rsidR="00457C6B" w:rsidRDefault="00457C6B">
      <w:pPr>
        <w:rPr>
          <w:rFonts w:ascii="Arial" w:hAnsi="Arial" w:cs="Arial"/>
          <w:i/>
          <w:sz w:val="16"/>
          <w:szCs w:val="16"/>
        </w:rPr>
      </w:pPr>
    </w:p>
    <w:p w:rsidR="00457C6B" w:rsidRDefault="0047703E">
      <w:pPr>
        <w:pStyle w:val="Titolo3"/>
      </w:pPr>
      <w:r>
        <w:t xml:space="preserve">Spese per incarichi di collaborazione autonoma (art.46 D.L. 25 giugno 2008, n. 112 – </w:t>
      </w:r>
      <w:proofErr w:type="spellStart"/>
      <w:r>
        <w:t>conv</w:t>
      </w:r>
      <w:proofErr w:type="spellEnd"/>
      <w:r>
        <w:t>. nella Legge 133/2008)</w:t>
      </w:r>
    </w:p>
    <w:p w:rsidR="00457C6B" w:rsidRDefault="0047703E">
      <w:pPr>
        <w:jc w:val="both"/>
        <w:rPr>
          <w:rFonts w:ascii="Arial" w:hAnsi="Arial" w:cs="Arial"/>
          <w:sz w:val="22"/>
          <w:szCs w:val="22"/>
        </w:rPr>
      </w:pPr>
      <w:r>
        <w:rPr>
          <w:rFonts w:ascii="Arial" w:hAnsi="Arial" w:cs="Arial"/>
          <w:sz w:val="22"/>
          <w:szCs w:val="22"/>
        </w:rPr>
        <w:t xml:space="preserve">Il limite massimo previsto in bilancio per incarichi di collaborazione autonoma è di euro </w:t>
      </w:r>
      <w:proofErr w:type="spellStart"/>
      <w:r>
        <w:rPr>
          <w:rFonts w:ascii="Arial" w:hAnsi="Arial" w:cs="Arial"/>
          <w:sz w:val="22"/>
          <w:szCs w:val="22"/>
        </w:rPr>
        <w:t>…………………</w:t>
      </w:r>
      <w:proofErr w:type="spellEnd"/>
      <w:r>
        <w:rPr>
          <w:rFonts w:ascii="Arial" w:hAnsi="Arial" w:cs="Arial"/>
          <w:sz w:val="22"/>
          <w:szCs w:val="22"/>
        </w:rPr>
        <w:t xml:space="preserve"> e rispetta il limite stabilito dall’art. 14 del d.l.66/2014, non superando le seguenti percentuali della spesa di personale risultante dal conto annuale del 2012:</w:t>
      </w:r>
    </w:p>
    <w:p w:rsidR="00457C6B" w:rsidRDefault="0047703E">
      <w:pPr>
        <w:jc w:val="both"/>
        <w:rPr>
          <w:rFonts w:ascii="Arial" w:hAnsi="Arial" w:cs="Arial"/>
          <w:sz w:val="22"/>
          <w:szCs w:val="22"/>
        </w:rPr>
      </w:pPr>
      <w:r>
        <w:rPr>
          <w:rFonts w:ascii="Arial" w:hAnsi="Arial" w:cs="Arial"/>
          <w:sz w:val="22"/>
          <w:szCs w:val="22"/>
        </w:rPr>
        <w:t>4,5% con spesa di personale pari o inferiore a 5 milioni di euro;</w:t>
      </w:r>
    </w:p>
    <w:p w:rsidR="00457C6B" w:rsidRDefault="0047703E">
      <w:pPr>
        <w:jc w:val="both"/>
        <w:rPr>
          <w:rFonts w:ascii="Arial" w:hAnsi="Arial" w:cs="Arial"/>
          <w:sz w:val="22"/>
          <w:szCs w:val="22"/>
        </w:rPr>
      </w:pPr>
      <w:r>
        <w:rPr>
          <w:rFonts w:ascii="Arial" w:hAnsi="Arial" w:cs="Arial"/>
          <w:sz w:val="22"/>
          <w:szCs w:val="22"/>
        </w:rPr>
        <w:t xml:space="preserve">1,1% con spesa di personale superiore a 5 milioni di euro. </w:t>
      </w:r>
    </w:p>
    <w:p w:rsidR="00457C6B" w:rsidRDefault="0047703E">
      <w:pPr>
        <w:jc w:val="both"/>
        <w:rPr>
          <w:rFonts w:ascii="Arial" w:hAnsi="Arial" w:cs="Arial"/>
          <w:color w:val="0000FF"/>
          <w:sz w:val="20"/>
          <w:szCs w:val="20"/>
        </w:rPr>
      </w:pPr>
      <w:r>
        <w:rPr>
          <w:rFonts w:ascii="Arial" w:hAnsi="Arial" w:cs="Arial"/>
          <w:sz w:val="22"/>
          <w:szCs w:val="22"/>
        </w:rPr>
        <w:t xml:space="preserve">I contratti di collaborazione potranno essere stipulati con riferimento alle attività istituzionali stabilite dalla Legge. </w:t>
      </w:r>
      <w:r>
        <w:rPr>
          <w:rFonts w:ascii="Arial" w:hAnsi="Arial" w:cs="Arial"/>
          <w:color w:val="0000FF"/>
          <w:sz w:val="20"/>
          <w:szCs w:val="20"/>
        </w:rPr>
        <w:t>(oppure: con riferimento al programma approvato dal Consiglio).</w:t>
      </w:r>
    </w:p>
    <w:p w:rsidR="00457C6B" w:rsidRDefault="0047703E">
      <w:pPr>
        <w:jc w:val="both"/>
        <w:rPr>
          <w:rFonts w:ascii="Arial" w:hAnsi="Arial" w:cs="Arial"/>
          <w:sz w:val="22"/>
          <w:szCs w:val="22"/>
        </w:rPr>
      </w:pPr>
      <w:r>
        <w:rPr>
          <w:rFonts w:ascii="Arial" w:hAnsi="Arial" w:cs="Arial"/>
          <w:sz w:val="22"/>
          <w:szCs w:val="22"/>
        </w:rPr>
        <w:t>L’ ente ha provveduto all’aggiornamento del regolamento per gli incarichi di collaborazione autonoma sulla base delle disposizioni introdotte dall’art. 46 della Legge 133/2008 ed a trasmetterlo entro 30 giorni alla Sezione regionale di controllo della Corte dei Conti.</w:t>
      </w:r>
    </w:p>
    <w:p w:rsidR="00457C6B" w:rsidRDefault="0047703E">
      <w:pPr>
        <w:jc w:val="both"/>
        <w:rPr>
          <w:rFonts w:ascii="Arial" w:hAnsi="Arial" w:cs="Arial"/>
          <w:color w:val="0000FF"/>
          <w:sz w:val="20"/>
          <w:szCs w:val="20"/>
        </w:rPr>
      </w:pPr>
      <w:r>
        <w:rPr>
          <w:rFonts w:ascii="Arial" w:hAnsi="Arial" w:cs="Arial"/>
          <w:sz w:val="22"/>
          <w:szCs w:val="22"/>
        </w:rPr>
        <w:t>L’ente pubblica regolarmente nel sito istituzionale i provvedimenti di incarico con l’indicazione dei soggetti percettori, della ragione dell’incarico e del compenso</w:t>
      </w:r>
      <w:r>
        <w:rPr>
          <w:rFonts w:ascii="Arial" w:hAnsi="Arial" w:cs="Arial"/>
          <w:sz w:val="20"/>
          <w:szCs w:val="20"/>
        </w:rPr>
        <w:t xml:space="preserve">. </w:t>
      </w:r>
      <w:r>
        <w:rPr>
          <w:rFonts w:ascii="Arial" w:hAnsi="Arial" w:cs="Arial"/>
          <w:color w:val="0000FF"/>
          <w:sz w:val="20"/>
          <w:szCs w:val="20"/>
        </w:rPr>
        <w:t>(La mancata pubblicazione costituisce illecito disciplinare e determina responsabilità erariale).</w:t>
      </w:r>
    </w:p>
    <w:p w:rsidR="00457C6B" w:rsidRDefault="00457C6B">
      <w:pPr>
        <w:rPr>
          <w:rFonts w:ascii="Arial" w:hAnsi="Arial" w:cs="Arial"/>
          <w:i/>
          <w:sz w:val="20"/>
        </w:rPr>
      </w:pPr>
    </w:p>
    <w:p w:rsidR="00457C6B" w:rsidRDefault="0047703E">
      <w:pPr>
        <w:pStyle w:val="Titolo3"/>
      </w:pPr>
      <w:r>
        <w:t>Spese per acquisto beni, prestazione di servizi e utilizzo di beni di terzi</w:t>
      </w:r>
    </w:p>
    <w:p w:rsidR="00457C6B" w:rsidRDefault="0047703E">
      <w:pPr>
        <w:pStyle w:val="Corpodeltesto3"/>
        <w:spacing w:before="120"/>
        <w:rPr>
          <w:rFonts w:cs="Arial"/>
          <w:sz w:val="22"/>
          <w:szCs w:val="22"/>
        </w:rPr>
      </w:pPr>
      <w:r>
        <w:rPr>
          <w:rFonts w:cs="Arial"/>
          <w:sz w:val="22"/>
          <w:szCs w:val="22"/>
        </w:rPr>
        <w:t xml:space="preserve">In relazione ai vincoli posti dal patto di stabilità interno, dal piano triennale di contenimento delle spese di cui all’art. 2, commi da 594 a 599 della Legge 244/2007, delle riduzioni di spesa disposte dall’art. 6 del D.L. 78/2010, di quelle dell’art. 1, comma 146 della Legge 24/12/2012 n. 228 e delle riduzioni di spesa disposte dai commi da 8 a 13 dell’art.47 della legge 66/2014, la previsione per l’anno 2015 è stata ridotta di euro </w:t>
      </w:r>
      <w:proofErr w:type="spellStart"/>
      <w:r>
        <w:rPr>
          <w:rFonts w:cs="Arial"/>
          <w:sz w:val="22"/>
          <w:szCs w:val="22"/>
        </w:rPr>
        <w:t>………</w:t>
      </w:r>
      <w:proofErr w:type="spellEnd"/>
      <w:r>
        <w:rPr>
          <w:rFonts w:cs="Arial"/>
          <w:sz w:val="22"/>
          <w:szCs w:val="22"/>
        </w:rPr>
        <w:t xml:space="preserve">. rispetto alla previsione definitiva per l’anno 2014 e di euro </w:t>
      </w:r>
      <w:proofErr w:type="spellStart"/>
      <w:r>
        <w:rPr>
          <w:rFonts w:cs="Arial"/>
          <w:sz w:val="22"/>
          <w:szCs w:val="22"/>
        </w:rPr>
        <w:t>……</w:t>
      </w:r>
      <w:proofErr w:type="spellEnd"/>
      <w:r>
        <w:rPr>
          <w:rFonts w:cs="Arial"/>
          <w:sz w:val="22"/>
          <w:szCs w:val="22"/>
        </w:rPr>
        <w:t xml:space="preserve">.. rispetto al rendiconto 2013 </w:t>
      </w:r>
      <w:r>
        <w:rPr>
          <w:rFonts w:cs="Arial"/>
          <w:color w:val="0000FF"/>
          <w:sz w:val="22"/>
          <w:szCs w:val="22"/>
        </w:rPr>
        <w:t>(o 2014)</w:t>
      </w:r>
      <w:r>
        <w:rPr>
          <w:rFonts w:cs="Arial"/>
          <w:sz w:val="22"/>
          <w:szCs w:val="22"/>
        </w:rPr>
        <w:t>.</w:t>
      </w:r>
    </w:p>
    <w:p w:rsidR="00457C6B" w:rsidRDefault="0047703E">
      <w:pPr>
        <w:pStyle w:val="Corpodeltesto3"/>
        <w:spacing w:before="120"/>
        <w:rPr>
          <w:rFonts w:cs="Arial"/>
          <w:sz w:val="22"/>
          <w:szCs w:val="22"/>
        </w:rPr>
      </w:pPr>
      <w:r>
        <w:rPr>
          <w:rFonts w:cs="Arial"/>
          <w:sz w:val="22"/>
          <w:szCs w:val="22"/>
        </w:rPr>
        <w:t>In particolare le previsioni per l’anno 2015 rispettano i seguenti limiti:</w:t>
      </w:r>
    </w:p>
    <w:p w:rsidR="00B31F1F" w:rsidRDefault="00B31F1F">
      <w:pPr>
        <w:pStyle w:val="Corpodeltesto3"/>
        <w:spacing w:before="120"/>
        <w:rPr>
          <w:rFonts w:cs="Arial"/>
          <w:sz w:val="22"/>
          <w:szCs w:val="22"/>
        </w:rPr>
      </w:pPr>
      <w:r w:rsidRPr="00B771D5">
        <w:rPr>
          <w:rFonts w:cs="Arial"/>
          <w:sz w:val="22"/>
          <w:szCs w:val="22"/>
        </w:rPr>
        <w:object w:dxaOrig="10011" w:dyaOrig="2239">
          <v:shape id="_x0000_i1050" type="#_x0000_t75" style="width:500.6pt;height:112.1pt" o:ole="">
            <v:imagedata r:id="rId69" o:title=""/>
          </v:shape>
          <o:OLEObject Type="Embed" ProgID="Excel.Sheet.8" ShapeID="_x0000_i1050" DrawAspect="Content" ObjectID="_1484374351" r:id="rId70"/>
        </w:object>
      </w:r>
    </w:p>
    <w:p w:rsidR="00AB4CC5" w:rsidRDefault="00AB4CC5">
      <w:pPr>
        <w:pStyle w:val="Corpodeltesto3"/>
        <w:spacing w:before="120"/>
        <w:rPr>
          <w:rFonts w:cs="Arial"/>
          <w:sz w:val="22"/>
          <w:szCs w:val="22"/>
        </w:rPr>
      </w:pPr>
    </w:p>
    <w:p w:rsidR="00457C6B" w:rsidRDefault="00AB4CC5">
      <w:pPr>
        <w:pStyle w:val="Corpodeltesto3"/>
        <w:spacing w:before="120"/>
        <w:rPr>
          <w:rFonts w:cs="Arial"/>
          <w:color w:val="0000FF"/>
          <w:sz w:val="20"/>
          <w:szCs w:val="20"/>
        </w:rPr>
      </w:pPr>
      <w:r>
        <w:rPr>
          <w:rFonts w:cs="Arial"/>
          <w:sz w:val="22"/>
          <w:szCs w:val="22"/>
        </w:rPr>
        <w:t xml:space="preserve"> </w:t>
      </w:r>
      <w:r w:rsidR="0047703E">
        <w:rPr>
          <w:rFonts w:cs="Arial"/>
          <w:sz w:val="22"/>
          <w:szCs w:val="22"/>
        </w:rPr>
        <w:t>(</w:t>
      </w:r>
      <w:r w:rsidR="0047703E">
        <w:rPr>
          <w:rFonts w:cs="Arial"/>
          <w:color w:val="0000FF"/>
          <w:sz w:val="20"/>
          <w:szCs w:val="20"/>
        </w:rPr>
        <w:t>1) l’art.1, comma 5 del d.l. 101/2013 per l’anno 2015 pone il limite della spesa per studi e consulenze nel 75% di quella sostenuta nel 2014</w:t>
      </w:r>
    </w:p>
    <w:p w:rsidR="00457C6B" w:rsidRDefault="0047703E">
      <w:pPr>
        <w:jc w:val="both"/>
        <w:rPr>
          <w:rFonts w:ascii="Arial" w:hAnsi="Arial" w:cs="Arial"/>
          <w:color w:val="0000FF"/>
          <w:sz w:val="20"/>
          <w:szCs w:val="20"/>
        </w:rPr>
      </w:pPr>
      <w:r>
        <w:rPr>
          <w:rFonts w:ascii="Arial" w:hAnsi="Arial" w:cs="Arial"/>
          <w:color w:val="0000FF"/>
          <w:sz w:val="20"/>
          <w:szCs w:val="20"/>
        </w:rPr>
        <w:t>(La Corte costituzionale con sentenza 139/2012 e la Sezione Autonomie della Corte dei Conti con delibera  26 del 20/12/2013, hanno stabilito che deve essere rispettato il limite complessivo ed è consentito che lo stanziamento in bilancio fra le diverse tipologie avvenga in base alle necessità derivanti dalle attività istituzionali dell’ente).</w:t>
      </w:r>
    </w:p>
    <w:p w:rsidR="00457C6B" w:rsidRDefault="0047703E">
      <w:pPr>
        <w:jc w:val="both"/>
        <w:rPr>
          <w:rFonts w:ascii="Arial" w:hAnsi="Arial" w:cs="Arial"/>
          <w:sz w:val="22"/>
          <w:szCs w:val="22"/>
        </w:rPr>
      </w:pPr>
      <w:r>
        <w:rPr>
          <w:rFonts w:ascii="Arial" w:hAnsi="Arial" w:cs="Arial"/>
          <w:sz w:val="22"/>
          <w:szCs w:val="22"/>
        </w:rPr>
        <w:lastRenderedPageBreak/>
        <w:t>Le spese previste per studi e consulenze rispettano il limite stabilito dall’art. 14 del d.l.66/2014, non superando le seguenti percentuali della spesa di personale risultante dal conto annuale del 2012:</w:t>
      </w:r>
    </w:p>
    <w:p w:rsidR="00457C6B" w:rsidRDefault="0047703E">
      <w:pPr>
        <w:jc w:val="both"/>
        <w:rPr>
          <w:rFonts w:ascii="Arial" w:hAnsi="Arial" w:cs="Arial"/>
          <w:sz w:val="22"/>
          <w:szCs w:val="22"/>
        </w:rPr>
      </w:pPr>
      <w:r>
        <w:rPr>
          <w:rFonts w:ascii="Arial" w:hAnsi="Arial" w:cs="Arial"/>
          <w:sz w:val="22"/>
          <w:szCs w:val="22"/>
        </w:rPr>
        <w:t>4,2% con spesa di personale pari o inferiore a 5 milioni di euro;</w:t>
      </w:r>
    </w:p>
    <w:p w:rsidR="00457C6B" w:rsidRDefault="0047703E">
      <w:pPr>
        <w:jc w:val="both"/>
        <w:rPr>
          <w:rFonts w:ascii="Arial" w:hAnsi="Arial" w:cs="Arial"/>
          <w:sz w:val="22"/>
          <w:szCs w:val="22"/>
        </w:rPr>
      </w:pPr>
      <w:r>
        <w:rPr>
          <w:rFonts w:ascii="Arial" w:hAnsi="Arial" w:cs="Arial"/>
          <w:sz w:val="22"/>
          <w:szCs w:val="22"/>
        </w:rPr>
        <w:t xml:space="preserve">1,4% con spesa di personale superiore a 5 milioni di euro. </w:t>
      </w:r>
    </w:p>
    <w:p w:rsidR="00457C6B" w:rsidRDefault="0047703E">
      <w:pPr>
        <w:pStyle w:val="Corpodeltesto3"/>
        <w:spacing w:before="120"/>
        <w:rPr>
          <w:rFonts w:cs="Arial"/>
          <w:color w:val="0000FF"/>
          <w:sz w:val="20"/>
          <w:szCs w:val="20"/>
        </w:rPr>
      </w:pPr>
      <w:r>
        <w:rPr>
          <w:rFonts w:cs="Arial"/>
          <w:color w:val="0000FF"/>
          <w:sz w:val="20"/>
          <w:szCs w:val="20"/>
        </w:rPr>
        <w:t xml:space="preserve"> (L’art.16, comma 26 del D.L. 138/2011,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457C6B" w:rsidRDefault="0047703E">
      <w:pPr>
        <w:pStyle w:val="Sottotitolo"/>
        <w:jc w:val="left"/>
        <w:rPr>
          <w:rFonts w:ascii="Arial" w:hAnsi="Arial" w:cs="Arial"/>
          <w:b/>
          <w:sz w:val="22"/>
          <w:szCs w:val="22"/>
          <w:u w:val="single"/>
        </w:rPr>
      </w:pPr>
      <w:r>
        <w:rPr>
          <w:rFonts w:ascii="Arial" w:hAnsi="Arial" w:cs="Arial"/>
          <w:b/>
          <w:sz w:val="22"/>
          <w:szCs w:val="22"/>
          <w:u w:val="single"/>
        </w:rPr>
        <w:t>Spese per autovetture (art.5 comma2 d.l. 95/2012)</w:t>
      </w:r>
    </w:p>
    <w:p w:rsidR="00457C6B" w:rsidRDefault="0047703E">
      <w:pPr>
        <w:pStyle w:val="Corpodeltesto3"/>
        <w:spacing w:before="120"/>
        <w:rPr>
          <w:rFonts w:cs="Arial"/>
          <w:b/>
          <w:i/>
          <w:color w:val="0000FF"/>
          <w:sz w:val="22"/>
          <w:szCs w:val="22"/>
          <w:u w:val="single"/>
        </w:rPr>
      </w:pPr>
      <w:r>
        <w:rPr>
          <w:rFonts w:cs="Arial"/>
          <w:color w:val="000000"/>
          <w:sz w:val="22"/>
          <w:szCs w:val="22"/>
        </w:rPr>
        <w:t>L’ente rispetta il limite disposto dall’art. 5, comma 2 del d.l.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servizi sociali e sanitari svolti per garantire i livelli essenziali di assistenza.</w:t>
      </w:r>
    </w:p>
    <w:p w:rsidR="00457C6B" w:rsidRDefault="0047703E">
      <w:pPr>
        <w:pStyle w:val="Sottotitolo"/>
        <w:jc w:val="left"/>
        <w:rPr>
          <w:rFonts w:ascii="Arial" w:hAnsi="Arial" w:cs="Arial"/>
          <w:b/>
          <w:sz w:val="22"/>
          <w:szCs w:val="22"/>
          <w:u w:val="single"/>
        </w:rPr>
      </w:pPr>
      <w:r>
        <w:rPr>
          <w:rFonts w:ascii="Arial" w:hAnsi="Arial" w:cs="Arial"/>
          <w:b/>
          <w:sz w:val="22"/>
          <w:szCs w:val="22"/>
          <w:u w:val="single"/>
        </w:rPr>
        <w:t>Limitazione incarichi in materia informatica</w:t>
      </w:r>
    </w:p>
    <w:p w:rsidR="00457C6B" w:rsidRDefault="0047703E">
      <w:pPr>
        <w:rPr>
          <w:rFonts w:ascii="Arial" w:hAnsi="Arial" w:cs="Arial"/>
          <w:sz w:val="22"/>
          <w:szCs w:val="22"/>
        </w:rPr>
      </w:pPr>
      <w:r>
        <w:rPr>
          <w:rFonts w:ascii="Arial" w:hAnsi="Arial" w:cs="Arial"/>
          <w:sz w:val="22"/>
          <w:szCs w:val="22"/>
        </w:rPr>
        <w:t xml:space="preserve"> (legge n.228 del 24/12/2012, art.1 commi 146 e 147) </w:t>
      </w:r>
    </w:p>
    <w:p w:rsidR="00457C6B" w:rsidRDefault="0047703E">
      <w:pPr>
        <w:pStyle w:val="NormaleWeb"/>
        <w:jc w:val="both"/>
        <w:rPr>
          <w:rFonts w:ascii="Arial" w:hAnsi="Arial" w:cs="Arial"/>
          <w:sz w:val="20"/>
          <w:szCs w:val="20"/>
        </w:rPr>
      </w:pPr>
      <w:r>
        <w:rPr>
          <w:rFonts w:ascii="Arial" w:hAnsi="Arial" w:cs="Arial"/>
          <w:sz w:val="20"/>
          <w:szCs w:val="20"/>
        </w:rPr>
        <w:t>La spesa prevista rientra nei casi eccezionali di cui ai comma 146 e 147 dell’art.1 della legge 228/2012.</w:t>
      </w:r>
    </w:p>
    <w:p w:rsidR="00457C6B" w:rsidRDefault="0047703E">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457C6B" w:rsidRDefault="00457C6B">
      <w:pPr>
        <w:rPr>
          <w:rFonts w:ascii="Verdana" w:hAnsi="Verdana"/>
          <w:color w:val="000000"/>
          <w:sz w:val="18"/>
          <w:szCs w:val="18"/>
        </w:rPr>
      </w:pPr>
    </w:p>
    <w:p w:rsidR="00457C6B" w:rsidRDefault="0047703E">
      <w:pPr>
        <w:pStyle w:val="Titolo3"/>
      </w:pPr>
      <w:r>
        <w:t>Trasferimenti</w:t>
      </w:r>
    </w:p>
    <w:p w:rsidR="00457C6B" w:rsidRDefault="0047703E">
      <w:pPr>
        <w:pStyle w:val="Corpodeltesto3"/>
        <w:spacing w:before="120"/>
        <w:rPr>
          <w:rFonts w:cs="Arial"/>
          <w:sz w:val="22"/>
          <w:szCs w:val="22"/>
        </w:rPr>
      </w:pPr>
      <w:r>
        <w:rPr>
          <w:rFonts w:cs="Arial"/>
          <w:sz w:val="22"/>
          <w:szCs w:val="22"/>
        </w:rPr>
        <w:t xml:space="preserve">In relazione ai vincoli posti dal patto di stabilità interno, l’incremento della spesa rispetto all’esercizio 2015 è stato contenuto nella misura del </w:t>
      </w:r>
      <w:proofErr w:type="spellStart"/>
      <w:r>
        <w:rPr>
          <w:rFonts w:cs="Arial"/>
          <w:sz w:val="22"/>
          <w:szCs w:val="22"/>
        </w:rPr>
        <w:t>……</w:t>
      </w:r>
      <w:proofErr w:type="spellEnd"/>
      <w:r>
        <w:rPr>
          <w:rFonts w:cs="Arial"/>
          <w:sz w:val="22"/>
          <w:szCs w:val="22"/>
        </w:rPr>
        <w:t xml:space="preserve"> %.</w:t>
      </w:r>
    </w:p>
    <w:p w:rsidR="00457C6B" w:rsidRDefault="0047703E">
      <w:pPr>
        <w:pStyle w:val="Corpodeltesto3"/>
        <w:spacing w:before="120"/>
        <w:rPr>
          <w:rFonts w:cs="Arial"/>
          <w:color w:val="0000FF"/>
          <w:sz w:val="20"/>
          <w:szCs w:val="20"/>
        </w:rPr>
      </w:pPr>
      <w:r>
        <w:rPr>
          <w:rFonts w:cs="Arial"/>
          <w:sz w:val="22"/>
          <w:szCs w:val="22"/>
        </w:rPr>
        <w:t xml:space="preserve">Nella previsione dei trasferimenti ad enti è stata verificato il rispetto di quanto disposto dall’art.6, comma 2 del D.L. 78/2010, sulla partecipazione onorifica agli organi collegiali anche amministrativi </w:t>
      </w:r>
      <w:r>
        <w:rPr>
          <w:rFonts w:cs="Arial"/>
          <w:sz w:val="20"/>
          <w:szCs w:val="20"/>
        </w:rPr>
        <w:t>(</w:t>
      </w:r>
      <w:r>
        <w:rPr>
          <w:rFonts w:cs="Arial"/>
          <w:color w:val="0000FF"/>
          <w:sz w:val="20"/>
          <w:szCs w:val="20"/>
        </w:rPr>
        <w:t>escluso il rimborso spese ed eventuale gettone di presenza nel limite di 30 euro giornalieri).</w:t>
      </w:r>
    </w:p>
    <w:p w:rsidR="00457C6B" w:rsidRDefault="00457C6B">
      <w:pPr>
        <w:pStyle w:val="Corpodeltesto3"/>
        <w:spacing w:before="120"/>
        <w:rPr>
          <w:rFonts w:cs="Arial"/>
          <w:color w:val="0000FF"/>
          <w:sz w:val="20"/>
          <w:szCs w:val="20"/>
        </w:rPr>
      </w:pPr>
    </w:p>
    <w:p w:rsidR="00457C6B" w:rsidRDefault="0047703E">
      <w:pPr>
        <w:pStyle w:val="Titolo3"/>
      </w:pPr>
      <w:r>
        <w:t>Oneri straordinari della gestione corrente</w:t>
      </w:r>
    </w:p>
    <w:p w:rsidR="00457C6B" w:rsidRDefault="00457C6B">
      <w:pPr>
        <w:rPr>
          <w:rFonts w:ascii="Arial" w:hAnsi="Arial" w:cs="Arial"/>
          <w:b/>
          <w:sz w:val="22"/>
          <w:szCs w:val="22"/>
        </w:rPr>
      </w:pPr>
    </w:p>
    <w:p w:rsidR="00457C6B" w:rsidRDefault="0047703E">
      <w:pPr>
        <w:jc w:val="both"/>
        <w:rPr>
          <w:rFonts w:ascii="Arial" w:hAnsi="Arial" w:cs="Arial"/>
          <w:sz w:val="22"/>
          <w:szCs w:val="22"/>
        </w:rPr>
      </w:pPr>
      <w:r>
        <w:rPr>
          <w:rFonts w:ascii="Arial" w:hAnsi="Arial" w:cs="Arial"/>
          <w:sz w:val="22"/>
          <w:szCs w:val="22"/>
        </w:rPr>
        <w:t>Tra gli oneri straordinari della gestione corrente (</w:t>
      </w:r>
      <w:r>
        <w:rPr>
          <w:rFonts w:ascii="Arial" w:hAnsi="Arial" w:cs="Arial"/>
          <w:color w:val="0000FF"/>
          <w:sz w:val="22"/>
          <w:szCs w:val="22"/>
        </w:rPr>
        <w:t xml:space="preserve">mancando apposito intervento nel modello contabile) </w:t>
      </w:r>
      <w:r>
        <w:rPr>
          <w:rFonts w:ascii="Arial" w:hAnsi="Arial" w:cs="Arial"/>
          <w:sz w:val="22"/>
          <w:szCs w:val="22"/>
        </w:rPr>
        <w:t>sono previsti i seguenti accantonamenti.</w:t>
      </w:r>
    </w:p>
    <w:p w:rsidR="00457C6B" w:rsidRDefault="0047703E">
      <w:pPr>
        <w:jc w:val="both"/>
        <w:rPr>
          <w:rFonts w:ascii="Arial" w:hAnsi="Arial" w:cs="Arial"/>
          <w:sz w:val="22"/>
          <w:szCs w:val="22"/>
        </w:rPr>
      </w:pPr>
      <w:r>
        <w:rPr>
          <w:rFonts w:ascii="Arial" w:hAnsi="Arial" w:cs="Arial"/>
          <w:sz w:val="22"/>
          <w:szCs w:val="22"/>
        </w:rPr>
        <w:t xml:space="preserve">a) </w:t>
      </w:r>
      <w:r>
        <w:rPr>
          <w:rFonts w:ascii="Arial" w:hAnsi="Arial" w:cs="Arial"/>
          <w:sz w:val="22"/>
          <w:szCs w:val="22"/>
          <w:u w:val="single"/>
        </w:rPr>
        <w:t>accantonamenti per contenzioso</w:t>
      </w:r>
      <w:r>
        <w:rPr>
          <w:rFonts w:ascii="Arial" w:hAnsi="Arial" w:cs="Arial"/>
          <w:sz w:val="22"/>
          <w:szCs w:val="22"/>
        </w:rPr>
        <w:t xml:space="preserve"> </w:t>
      </w:r>
    </w:p>
    <w:p w:rsidR="00457C6B" w:rsidRDefault="0047703E">
      <w:pPr>
        <w:jc w:val="both"/>
        <w:rPr>
          <w:rFonts w:ascii="Arial" w:hAnsi="Arial" w:cs="Arial"/>
          <w:sz w:val="22"/>
          <w:szCs w:val="22"/>
        </w:rPr>
      </w:pPr>
      <w:r>
        <w:rPr>
          <w:rFonts w:ascii="Arial" w:hAnsi="Arial" w:cs="Arial"/>
          <w:sz w:val="22"/>
          <w:szCs w:val="22"/>
        </w:rPr>
        <w:t xml:space="preserve">per euro </w:t>
      </w:r>
      <w:proofErr w:type="spellStart"/>
      <w:r>
        <w:rPr>
          <w:rFonts w:ascii="Arial" w:hAnsi="Arial" w:cs="Arial"/>
          <w:sz w:val="22"/>
          <w:szCs w:val="22"/>
        </w:rPr>
        <w:t>…………………</w:t>
      </w:r>
      <w:proofErr w:type="spellEnd"/>
      <w:r>
        <w:rPr>
          <w:rFonts w:ascii="Arial" w:hAnsi="Arial" w:cs="Arial"/>
          <w:sz w:val="22"/>
          <w:szCs w:val="22"/>
        </w:rPr>
        <w:t>., sulla base del punto 5.2 lettera h) del principio contabile applicato alla contabilità finanziaria (allegato 4.2 al d.lgs. 118/2011);</w:t>
      </w:r>
    </w:p>
    <w:p w:rsidR="00457C6B" w:rsidRDefault="0047703E">
      <w:pPr>
        <w:jc w:val="both"/>
        <w:rPr>
          <w:rFonts w:ascii="Arial" w:hAnsi="Arial" w:cs="Arial"/>
          <w:sz w:val="22"/>
          <w:szCs w:val="22"/>
        </w:rPr>
      </w:pPr>
      <w:r>
        <w:rPr>
          <w:rFonts w:ascii="Arial" w:hAnsi="Arial" w:cs="Arial"/>
          <w:sz w:val="22"/>
          <w:szCs w:val="22"/>
        </w:rPr>
        <w:t xml:space="preserve">b) </w:t>
      </w:r>
      <w:r>
        <w:rPr>
          <w:rFonts w:ascii="Arial" w:hAnsi="Arial" w:cs="Arial"/>
          <w:sz w:val="22"/>
          <w:szCs w:val="22"/>
          <w:u w:val="single"/>
        </w:rPr>
        <w:t>accantonamenti per indennità fine mandato</w:t>
      </w:r>
    </w:p>
    <w:p w:rsidR="00457C6B" w:rsidRDefault="0047703E">
      <w:pPr>
        <w:jc w:val="both"/>
        <w:rPr>
          <w:rFonts w:ascii="Arial" w:hAnsi="Arial" w:cs="Arial"/>
          <w:sz w:val="22"/>
          <w:szCs w:val="22"/>
        </w:rPr>
      </w:pPr>
      <w:r>
        <w:rPr>
          <w:rFonts w:ascii="Arial" w:hAnsi="Arial" w:cs="Arial"/>
          <w:sz w:val="22"/>
          <w:szCs w:val="22"/>
        </w:rPr>
        <w:t xml:space="preserve">per euro </w:t>
      </w:r>
      <w:proofErr w:type="spellStart"/>
      <w:r>
        <w:rPr>
          <w:rFonts w:ascii="Arial" w:hAnsi="Arial" w:cs="Arial"/>
          <w:sz w:val="22"/>
          <w:szCs w:val="22"/>
        </w:rPr>
        <w:t>…………………</w:t>
      </w:r>
      <w:proofErr w:type="spellEnd"/>
      <w:r>
        <w:rPr>
          <w:rFonts w:ascii="Arial" w:hAnsi="Arial" w:cs="Arial"/>
          <w:sz w:val="22"/>
          <w:szCs w:val="22"/>
        </w:rPr>
        <w:t>. sulla base del punto 5.2 lettera i) del principio contabile applicato alla contabilità finanziaria (allegato 4.2 al d.lgs.118/2011);</w:t>
      </w:r>
    </w:p>
    <w:p w:rsidR="00457C6B" w:rsidRDefault="0047703E">
      <w:pPr>
        <w:jc w:val="both"/>
        <w:rPr>
          <w:rFonts w:ascii="Arial" w:hAnsi="Arial" w:cs="Arial"/>
          <w:sz w:val="22"/>
          <w:szCs w:val="22"/>
        </w:rPr>
      </w:pPr>
      <w:r>
        <w:rPr>
          <w:rFonts w:ascii="Arial" w:hAnsi="Arial" w:cs="Arial"/>
          <w:sz w:val="22"/>
          <w:szCs w:val="22"/>
        </w:rPr>
        <w:t xml:space="preserve">c) </w:t>
      </w:r>
      <w:r>
        <w:rPr>
          <w:rFonts w:ascii="Arial" w:hAnsi="Arial" w:cs="Arial"/>
          <w:sz w:val="22"/>
          <w:szCs w:val="22"/>
          <w:u w:val="single"/>
        </w:rPr>
        <w:t>accantonamenti a copertura di perdite organismi partecipati</w:t>
      </w:r>
    </w:p>
    <w:p w:rsidR="00457C6B" w:rsidRDefault="0047703E">
      <w:pPr>
        <w:jc w:val="both"/>
        <w:rPr>
          <w:rFonts w:ascii="Arial" w:hAnsi="Arial" w:cs="Arial"/>
          <w:sz w:val="22"/>
          <w:szCs w:val="22"/>
        </w:rPr>
      </w:pPr>
      <w:r>
        <w:rPr>
          <w:rFonts w:ascii="Arial" w:hAnsi="Arial" w:cs="Arial"/>
          <w:sz w:val="22"/>
          <w:szCs w:val="22"/>
        </w:rPr>
        <w:t xml:space="preserve">per euro </w:t>
      </w:r>
      <w:proofErr w:type="spellStart"/>
      <w:r>
        <w:rPr>
          <w:rFonts w:ascii="Arial" w:hAnsi="Arial" w:cs="Arial"/>
          <w:sz w:val="22"/>
          <w:szCs w:val="22"/>
        </w:rPr>
        <w:t>……………………</w:t>
      </w:r>
      <w:proofErr w:type="spellEnd"/>
      <w:r>
        <w:rPr>
          <w:rFonts w:ascii="Arial" w:hAnsi="Arial" w:cs="Arial"/>
          <w:sz w:val="22"/>
          <w:szCs w:val="22"/>
        </w:rPr>
        <w:t>. sulla base di quanto disposto dal comma 552 dell’art.1 della legge 147/2013 e di quanto dettagliato in seguito nella parte relativa agli organismi partecipati.</w:t>
      </w:r>
    </w:p>
    <w:p w:rsidR="00457C6B" w:rsidRDefault="00457C6B">
      <w:pPr>
        <w:jc w:val="both"/>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 xml:space="preserve">E’ stata inoltre prevista nel bilancio 2015 la somma di euro </w:t>
      </w:r>
      <w:proofErr w:type="spellStart"/>
      <w:r>
        <w:rPr>
          <w:rFonts w:ascii="Arial" w:hAnsi="Arial" w:cs="Arial"/>
          <w:sz w:val="22"/>
          <w:szCs w:val="22"/>
        </w:rPr>
        <w:t>………</w:t>
      </w:r>
      <w:proofErr w:type="spellEnd"/>
      <w:r>
        <w:rPr>
          <w:rFonts w:ascii="Arial" w:hAnsi="Arial" w:cs="Arial"/>
          <w:sz w:val="22"/>
          <w:szCs w:val="22"/>
        </w:rPr>
        <w:t xml:space="preserve">. destinata in particolare alle seguenti tipologia di spesa non aventi natura di accantonamento </w:t>
      </w:r>
      <w:proofErr w:type="spellStart"/>
      <w:r>
        <w:rPr>
          <w:rFonts w:ascii="Arial" w:hAnsi="Arial" w:cs="Arial"/>
          <w:sz w:val="22"/>
          <w:szCs w:val="22"/>
        </w:rPr>
        <w:t>……</w:t>
      </w:r>
      <w:proofErr w:type="spellEnd"/>
      <w:r>
        <w:rPr>
          <w:rFonts w:ascii="Arial" w:hAnsi="Arial" w:cs="Arial"/>
          <w:sz w:val="22"/>
          <w:szCs w:val="22"/>
        </w:rPr>
        <w:t>.</w:t>
      </w:r>
    </w:p>
    <w:p w:rsidR="00457C6B" w:rsidRDefault="00457C6B">
      <w:pPr>
        <w:rPr>
          <w:rFonts w:ascii="Arial" w:hAnsi="Arial" w:cs="Arial"/>
          <w:b/>
          <w:i/>
          <w:sz w:val="22"/>
          <w:szCs w:val="22"/>
        </w:rPr>
      </w:pPr>
    </w:p>
    <w:p w:rsidR="00457C6B" w:rsidRDefault="0047703E">
      <w:pPr>
        <w:pStyle w:val="Titolo3"/>
      </w:pPr>
      <w:r>
        <w:lastRenderedPageBreak/>
        <w:t xml:space="preserve">Fondo crediti di dubbia esigibilità </w:t>
      </w:r>
    </w:p>
    <w:p w:rsidR="00457C6B" w:rsidRDefault="00457C6B">
      <w:pPr>
        <w:rPr>
          <w:rFonts w:ascii="Arial" w:hAnsi="Arial" w:cs="Arial"/>
          <w:b/>
          <w:sz w:val="22"/>
          <w:szCs w:val="22"/>
        </w:rPr>
      </w:pPr>
    </w:p>
    <w:p w:rsidR="00457C6B" w:rsidRDefault="0047703E">
      <w:pPr>
        <w:spacing w:before="120"/>
        <w:jc w:val="both"/>
        <w:rPr>
          <w:rFonts w:ascii="Arial" w:hAnsi="Arial" w:cs="Arial"/>
          <w:sz w:val="22"/>
          <w:szCs w:val="22"/>
          <w:u w:val="single"/>
        </w:rPr>
      </w:pPr>
      <w:r>
        <w:rPr>
          <w:rFonts w:ascii="Arial" w:hAnsi="Arial" w:cs="Arial"/>
          <w:sz w:val="22"/>
          <w:szCs w:val="22"/>
          <w:u w:val="single"/>
        </w:rPr>
        <w:t>Fondo crediti di dubbia esigibilità</w:t>
      </w:r>
    </w:p>
    <w:p w:rsidR="00457C6B" w:rsidRDefault="0047703E">
      <w:pPr>
        <w:tabs>
          <w:tab w:val="left" w:pos="284"/>
        </w:tabs>
        <w:ind w:right="-285"/>
        <w:jc w:val="both"/>
        <w:rPr>
          <w:rFonts w:ascii="Arial" w:hAnsi="Arial" w:cs="Arial"/>
          <w:sz w:val="22"/>
          <w:szCs w:val="22"/>
        </w:rPr>
      </w:pPr>
      <w:r>
        <w:rPr>
          <w:rFonts w:ascii="Arial" w:hAnsi="Arial" w:cs="Arial"/>
          <w:sz w:val="22"/>
          <w:szCs w:val="22"/>
        </w:rPr>
        <w:t>In applicazione del punto 3.3  e dell’esempio n.5 del principio applicato alla contabilità finanziaria allegato 4.2 al d.lgs. 118/2011, è stanziata nel bilancio di previsione una apposita posta contabile, denominata “Accantonamento al fondo crediti di dubbia esigibilità” il cui ammontare è determinato in considerazione della dimensione degli stanziamenti relativi ai crediti che si prevede si formeranno nell’esercizio, della loro natura e dell’andamento del fenomeno negli ultimi cinque esercizi precedenti (la media del rapporto tra incassi e accertamenti per ciascuna tipologia di entrata).</w:t>
      </w:r>
    </w:p>
    <w:p w:rsidR="00457C6B" w:rsidRDefault="0047703E">
      <w:pPr>
        <w:tabs>
          <w:tab w:val="left" w:pos="284"/>
        </w:tabs>
        <w:ind w:right="-285"/>
        <w:jc w:val="both"/>
        <w:rPr>
          <w:rFonts w:ascii="Arial" w:hAnsi="Arial" w:cs="Arial"/>
          <w:sz w:val="22"/>
          <w:szCs w:val="22"/>
          <w:u w:val="single"/>
        </w:rPr>
      </w:pPr>
      <w:r>
        <w:rPr>
          <w:rFonts w:ascii="Arial" w:hAnsi="Arial" w:cs="Arial"/>
          <w:sz w:val="22"/>
          <w:szCs w:val="22"/>
          <w:u w:val="single"/>
        </w:rPr>
        <w:t>Nel primo esercizio di applicazione del principio è possibile stanziare in bilancio una quota almeno pari al 36% dell’importo dell’accantonamento quantificato nel prospetto riguardante il fondo crediti di dubbia esigibilità allegato al bilancio di previsione. Negli esercizi successivi lo stanziamento minimo è per la percentuale seguente:</w:t>
      </w:r>
    </w:p>
    <w:p w:rsidR="00457C6B" w:rsidRDefault="00457C6B">
      <w:pPr>
        <w:tabs>
          <w:tab w:val="left" w:pos="284"/>
        </w:tabs>
        <w:ind w:right="-285"/>
        <w:jc w:val="both"/>
        <w:rPr>
          <w:rFonts w:ascii="Arial" w:hAnsi="Arial" w:cs="Arial"/>
          <w:sz w:val="22"/>
          <w:szCs w:val="22"/>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1"/>
        <w:gridCol w:w="1693"/>
        <w:gridCol w:w="1693"/>
        <w:gridCol w:w="1693"/>
        <w:gridCol w:w="1498"/>
      </w:tblGrid>
      <w:tr w:rsidR="00457C6B">
        <w:tc>
          <w:tcPr>
            <w:tcW w:w="2211" w:type="dxa"/>
          </w:tcPr>
          <w:p w:rsidR="00457C6B" w:rsidRDefault="0047703E">
            <w:pPr>
              <w:tabs>
                <w:tab w:val="left" w:pos="0"/>
              </w:tabs>
              <w:rPr>
                <w:rFonts w:ascii="Arial" w:hAnsi="Arial" w:cs="Arial"/>
              </w:rPr>
            </w:pPr>
            <w:r>
              <w:rPr>
                <w:rFonts w:ascii="Arial" w:hAnsi="Arial" w:cs="Arial"/>
              </w:rPr>
              <w:t>2015</w:t>
            </w:r>
          </w:p>
        </w:tc>
        <w:tc>
          <w:tcPr>
            <w:tcW w:w="1693" w:type="dxa"/>
          </w:tcPr>
          <w:p w:rsidR="00457C6B" w:rsidRDefault="0047703E">
            <w:pPr>
              <w:tabs>
                <w:tab w:val="left" w:pos="0"/>
              </w:tabs>
              <w:rPr>
                <w:rFonts w:ascii="Arial" w:hAnsi="Arial" w:cs="Arial"/>
              </w:rPr>
            </w:pPr>
            <w:r>
              <w:rPr>
                <w:rFonts w:ascii="Arial" w:hAnsi="Arial" w:cs="Arial"/>
              </w:rPr>
              <w:t>2016</w:t>
            </w:r>
          </w:p>
        </w:tc>
        <w:tc>
          <w:tcPr>
            <w:tcW w:w="1693" w:type="dxa"/>
          </w:tcPr>
          <w:p w:rsidR="00457C6B" w:rsidRDefault="0047703E">
            <w:pPr>
              <w:tabs>
                <w:tab w:val="left" w:pos="0"/>
              </w:tabs>
              <w:rPr>
                <w:rFonts w:ascii="Arial" w:hAnsi="Arial" w:cs="Arial"/>
              </w:rPr>
            </w:pPr>
            <w:r>
              <w:rPr>
                <w:rFonts w:ascii="Arial" w:hAnsi="Arial" w:cs="Arial"/>
              </w:rPr>
              <w:t>2017</w:t>
            </w:r>
          </w:p>
        </w:tc>
        <w:tc>
          <w:tcPr>
            <w:tcW w:w="1693" w:type="dxa"/>
          </w:tcPr>
          <w:p w:rsidR="00457C6B" w:rsidRDefault="0047703E">
            <w:pPr>
              <w:tabs>
                <w:tab w:val="left" w:pos="0"/>
              </w:tabs>
              <w:rPr>
                <w:rFonts w:ascii="Arial" w:hAnsi="Arial" w:cs="Arial"/>
              </w:rPr>
            </w:pPr>
            <w:r>
              <w:rPr>
                <w:rFonts w:ascii="Arial" w:hAnsi="Arial" w:cs="Arial"/>
              </w:rPr>
              <w:t>2018</w:t>
            </w:r>
          </w:p>
        </w:tc>
        <w:tc>
          <w:tcPr>
            <w:tcW w:w="1498" w:type="dxa"/>
          </w:tcPr>
          <w:p w:rsidR="00457C6B" w:rsidRDefault="0047703E">
            <w:pPr>
              <w:tabs>
                <w:tab w:val="left" w:pos="0"/>
              </w:tabs>
              <w:rPr>
                <w:rFonts w:ascii="Arial" w:hAnsi="Arial" w:cs="Arial"/>
              </w:rPr>
            </w:pPr>
            <w:r>
              <w:rPr>
                <w:rFonts w:ascii="Arial" w:hAnsi="Arial" w:cs="Arial"/>
              </w:rPr>
              <w:t>2019</w:t>
            </w:r>
          </w:p>
        </w:tc>
      </w:tr>
      <w:tr w:rsidR="00457C6B">
        <w:tc>
          <w:tcPr>
            <w:tcW w:w="2211" w:type="dxa"/>
          </w:tcPr>
          <w:p w:rsidR="00457C6B" w:rsidRDefault="0047703E">
            <w:pPr>
              <w:tabs>
                <w:tab w:val="left" w:pos="0"/>
              </w:tabs>
              <w:rPr>
                <w:rFonts w:ascii="Arial" w:hAnsi="Arial" w:cs="Arial"/>
              </w:rPr>
            </w:pPr>
            <w:r>
              <w:rPr>
                <w:rFonts w:ascii="Arial" w:hAnsi="Arial" w:cs="Arial"/>
              </w:rPr>
              <w:t>36%</w:t>
            </w:r>
          </w:p>
        </w:tc>
        <w:tc>
          <w:tcPr>
            <w:tcW w:w="1693" w:type="dxa"/>
          </w:tcPr>
          <w:p w:rsidR="00457C6B" w:rsidRDefault="0047703E">
            <w:pPr>
              <w:tabs>
                <w:tab w:val="left" w:pos="0"/>
              </w:tabs>
              <w:rPr>
                <w:rFonts w:ascii="Arial" w:hAnsi="Arial" w:cs="Arial"/>
              </w:rPr>
            </w:pPr>
            <w:r>
              <w:rPr>
                <w:rFonts w:ascii="Arial" w:hAnsi="Arial" w:cs="Arial"/>
              </w:rPr>
              <w:t>55%</w:t>
            </w:r>
          </w:p>
        </w:tc>
        <w:tc>
          <w:tcPr>
            <w:tcW w:w="1693" w:type="dxa"/>
          </w:tcPr>
          <w:p w:rsidR="00457C6B" w:rsidRDefault="0047703E">
            <w:pPr>
              <w:tabs>
                <w:tab w:val="left" w:pos="0"/>
              </w:tabs>
              <w:rPr>
                <w:rFonts w:ascii="Arial" w:hAnsi="Arial" w:cs="Arial"/>
              </w:rPr>
            </w:pPr>
            <w:r>
              <w:rPr>
                <w:rFonts w:ascii="Arial" w:hAnsi="Arial" w:cs="Arial"/>
              </w:rPr>
              <w:t>70%</w:t>
            </w:r>
          </w:p>
        </w:tc>
        <w:tc>
          <w:tcPr>
            <w:tcW w:w="1693" w:type="dxa"/>
          </w:tcPr>
          <w:p w:rsidR="00457C6B" w:rsidRDefault="0047703E">
            <w:pPr>
              <w:tabs>
                <w:tab w:val="left" w:pos="0"/>
              </w:tabs>
              <w:rPr>
                <w:rFonts w:ascii="Arial" w:hAnsi="Arial" w:cs="Arial"/>
              </w:rPr>
            </w:pPr>
            <w:r>
              <w:rPr>
                <w:rFonts w:ascii="Arial" w:hAnsi="Arial" w:cs="Arial"/>
              </w:rPr>
              <w:t>85%</w:t>
            </w:r>
          </w:p>
        </w:tc>
        <w:tc>
          <w:tcPr>
            <w:tcW w:w="1498" w:type="dxa"/>
          </w:tcPr>
          <w:p w:rsidR="00457C6B" w:rsidRDefault="0047703E">
            <w:pPr>
              <w:tabs>
                <w:tab w:val="left" w:pos="0"/>
              </w:tabs>
              <w:rPr>
                <w:rFonts w:ascii="Arial" w:hAnsi="Arial" w:cs="Arial"/>
              </w:rPr>
            </w:pPr>
            <w:r>
              <w:rPr>
                <w:rFonts w:ascii="Arial" w:hAnsi="Arial" w:cs="Arial"/>
              </w:rPr>
              <w:t>100%</w:t>
            </w:r>
          </w:p>
        </w:tc>
      </w:tr>
    </w:tbl>
    <w:p w:rsidR="00457C6B" w:rsidRDefault="00457C6B">
      <w:pPr>
        <w:tabs>
          <w:tab w:val="left" w:pos="0"/>
        </w:tabs>
        <w:rPr>
          <w:rFonts w:ascii="Arial" w:hAnsi="Arial" w:cs="Arial"/>
          <w:sz w:val="22"/>
          <w:szCs w:val="22"/>
        </w:rPr>
      </w:pPr>
    </w:p>
    <w:p w:rsidR="00457C6B" w:rsidRDefault="0047703E">
      <w:pPr>
        <w:tabs>
          <w:tab w:val="left" w:pos="0"/>
        </w:tabs>
        <w:rPr>
          <w:rFonts w:ascii="Arial" w:hAnsi="Arial" w:cs="Arial"/>
          <w:color w:val="0000FF"/>
          <w:sz w:val="20"/>
          <w:szCs w:val="20"/>
        </w:rPr>
      </w:pPr>
      <w:r>
        <w:rPr>
          <w:rFonts w:ascii="Arial" w:hAnsi="Arial" w:cs="Arial"/>
          <w:color w:val="0000FF"/>
          <w:sz w:val="20"/>
          <w:szCs w:val="20"/>
        </w:rPr>
        <w:t>Per l’anno 2015 per gli enti che hanno aderito alla sperimentazione la percentuale è fissata al 55%.</w:t>
      </w:r>
    </w:p>
    <w:p w:rsidR="00457C6B" w:rsidRDefault="0047703E">
      <w:pPr>
        <w:spacing w:before="120"/>
        <w:jc w:val="both"/>
        <w:rPr>
          <w:rFonts w:ascii="Arial" w:hAnsi="Arial" w:cs="Arial"/>
          <w:sz w:val="22"/>
          <w:szCs w:val="22"/>
        </w:rPr>
      </w:pPr>
      <w:r>
        <w:rPr>
          <w:rFonts w:ascii="Arial" w:hAnsi="Arial" w:cs="Arial"/>
          <w:sz w:val="22"/>
          <w:szCs w:val="22"/>
        </w:rPr>
        <w:t>L’ammontare del fondo è stato determinato applicando le seguenti aliquote alle categorie di entrate previste al valore nominale che potrebbero comportare dubbia esigibilità: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168"/>
        <w:gridCol w:w="1440"/>
        <w:gridCol w:w="1260"/>
        <w:gridCol w:w="1260"/>
        <w:gridCol w:w="1260"/>
      </w:tblGrid>
      <w:tr w:rsidR="00457C6B">
        <w:tc>
          <w:tcPr>
            <w:tcW w:w="2628" w:type="dxa"/>
          </w:tcPr>
          <w:p w:rsidR="00457C6B" w:rsidRDefault="0047703E">
            <w:pPr>
              <w:spacing w:before="120"/>
              <w:jc w:val="both"/>
              <w:rPr>
                <w:rFonts w:ascii="Arial" w:hAnsi="Arial" w:cs="Arial"/>
              </w:rPr>
            </w:pPr>
            <w:r>
              <w:rPr>
                <w:rFonts w:ascii="Arial" w:hAnsi="Arial" w:cs="Arial"/>
                <w:sz w:val="22"/>
                <w:szCs w:val="22"/>
              </w:rPr>
              <w:t>categoria entrata</w:t>
            </w:r>
          </w:p>
        </w:tc>
        <w:tc>
          <w:tcPr>
            <w:tcW w:w="1168" w:type="dxa"/>
          </w:tcPr>
          <w:p w:rsidR="00457C6B" w:rsidRDefault="0047703E">
            <w:pPr>
              <w:spacing w:before="120"/>
              <w:jc w:val="both"/>
              <w:rPr>
                <w:rFonts w:ascii="Arial" w:hAnsi="Arial" w:cs="Arial"/>
              </w:rPr>
            </w:pPr>
            <w:r>
              <w:rPr>
                <w:rFonts w:ascii="Arial" w:hAnsi="Arial" w:cs="Arial"/>
                <w:sz w:val="22"/>
                <w:szCs w:val="22"/>
              </w:rPr>
              <w:t>aliquota</w:t>
            </w:r>
          </w:p>
        </w:tc>
        <w:tc>
          <w:tcPr>
            <w:tcW w:w="1440" w:type="dxa"/>
          </w:tcPr>
          <w:p w:rsidR="00457C6B" w:rsidRDefault="0047703E">
            <w:pPr>
              <w:spacing w:before="120"/>
              <w:jc w:val="both"/>
              <w:rPr>
                <w:rFonts w:ascii="Arial" w:hAnsi="Arial" w:cs="Arial"/>
              </w:rPr>
            </w:pPr>
            <w:r>
              <w:rPr>
                <w:rFonts w:ascii="Arial" w:hAnsi="Arial" w:cs="Arial"/>
                <w:sz w:val="22"/>
                <w:szCs w:val="22"/>
              </w:rPr>
              <w:t>Fondo complessivo</w:t>
            </w:r>
          </w:p>
        </w:tc>
        <w:tc>
          <w:tcPr>
            <w:tcW w:w="1260" w:type="dxa"/>
          </w:tcPr>
          <w:p w:rsidR="00457C6B" w:rsidRDefault="0047703E">
            <w:pPr>
              <w:spacing w:before="120"/>
              <w:jc w:val="both"/>
              <w:rPr>
                <w:rFonts w:ascii="Arial" w:hAnsi="Arial" w:cs="Arial"/>
                <w:b/>
                <w:sz w:val="16"/>
                <w:szCs w:val="16"/>
              </w:rPr>
            </w:pPr>
            <w:r>
              <w:rPr>
                <w:rFonts w:ascii="Arial" w:hAnsi="Arial" w:cs="Arial"/>
                <w:b/>
                <w:sz w:val="16"/>
                <w:szCs w:val="16"/>
              </w:rPr>
              <w:t>Quota prevista 2015</w:t>
            </w:r>
          </w:p>
        </w:tc>
        <w:tc>
          <w:tcPr>
            <w:tcW w:w="1260" w:type="dxa"/>
          </w:tcPr>
          <w:p w:rsidR="00457C6B" w:rsidRDefault="0047703E">
            <w:pPr>
              <w:spacing w:before="120"/>
              <w:jc w:val="both"/>
              <w:rPr>
                <w:rFonts w:ascii="Arial" w:hAnsi="Arial" w:cs="Arial"/>
                <w:b/>
              </w:rPr>
            </w:pPr>
            <w:r>
              <w:rPr>
                <w:rFonts w:ascii="Arial" w:hAnsi="Arial" w:cs="Arial"/>
                <w:b/>
                <w:sz w:val="16"/>
                <w:szCs w:val="16"/>
              </w:rPr>
              <w:t>Quota prevista 2016</w:t>
            </w:r>
          </w:p>
        </w:tc>
        <w:tc>
          <w:tcPr>
            <w:tcW w:w="1260" w:type="dxa"/>
          </w:tcPr>
          <w:p w:rsidR="00457C6B" w:rsidRDefault="0047703E">
            <w:pPr>
              <w:spacing w:before="120"/>
              <w:jc w:val="both"/>
              <w:rPr>
                <w:rFonts w:ascii="Arial" w:hAnsi="Arial" w:cs="Arial"/>
                <w:b/>
              </w:rPr>
            </w:pPr>
            <w:r>
              <w:rPr>
                <w:rFonts w:ascii="Arial" w:hAnsi="Arial" w:cs="Arial"/>
                <w:b/>
                <w:sz w:val="16"/>
                <w:szCs w:val="16"/>
              </w:rPr>
              <w:t>Quota prevista 2017</w:t>
            </w:r>
          </w:p>
        </w:tc>
      </w:tr>
      <w:tr w:rsidR="00457C6B">
        <w:tc>
          <w:tcPr>
            <w:tcW w:w="2628" w:type="dxa"/>
          </w:tcPr>
          <w:p w:rsidR="00457C6B" w:rsidRDefault="0047703E">
            <w:pPr>
              <w:spacing w:before="120"/>
              <w:jc w:val="both"/>
              <w:rPr>
                <w:rFonts w:ascii="Arial" w:hAnsi="Arial" w:cs="Arial"/>
              </w:rPr>
            </w:pPr>
            <w:r>
              <w:rPr>
                <w:rFonts w:ascii="Arial" w:hAnsi="Arial" w:cs="Arial"/>
                <w:sz w:val="22"/>
                <w:szCs w:val="22"/>
              </w:rPr>
              <w:t>Sanzioni codice strada</w:t>
            </w:r>
          </w:p>
        </w:tc>
        <w:tc>
          <w:tcPr>
            <w:tcW w:w="1168" w:type="dxa"/>
          </w:tcPr>
          <w:p w:rsidR="00457C6B" w:rsidRDefault="00457C6B">
            <w:pPr>
              <w:spacing w:before="120"/>
              <w:jc w:val="both"/>
              <w:rPr>
                <w:rFonts w:ascii="Arial" w:hAnsi="Arial" w:cs="Arial"/>
              </w:rPr>
            </w:pPr>
          </w:p>
        </w:tc>
        <w:tc>
          <w:tcPr>
            <w:tcW w:w="144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r>
      <w:tr w:rsidR="00457C6B">
        <w:tc>
          <w:tcPr>
            <w:tcW w:w="2628" w:type="dxa"/>
          </w:tcPr>
          <w:p w:rsidR="00457C6B" w:rsidRDefault="0047703E">
            <w:pPr>
              <w:spacing w:before="120"/>
              <w:jc w:val="both"/>
              <w:rPr>
                <w:rFonts w:ascii="Arial" w:hAnsi="Arial" w:cs="Arial"/>
              </w:rPr>
            </w:pPr>
            <w:r>
              <w:rPr>
                <w:rFonts w:ascii="Arial" w:hAnsi="Arial" w:cs="Arial"/>
                <w:sz w:val="22"/>
                <w:szCs w:val="22"/>
              </w:rPr>
              <w:t>Rette e contribuzioni</w:t>
            </w:r>
          </w:p>
        </w:tc>
        <w:tc>
          <w:tcPr>
            <w:tcW w:w="1168" w:type="dxa"/>
          </w:tcPr>
          <w:p w:rsidR="00457C6B" w:rsidRDefault="00457C6B">
            <w:pPr>
              <w:spacing w:before="120"/>
              <w:jc w:val="both"/>
              <w:rPr>
                <w:rFonts w:ascii="Arial" w:hAnsi="Arial" w:cs="Arial"/>
              </w:rPr>
            </w:pPr>
          </w:p>
        </w:tc>
        <w:tc>
          <w:tcPr>
            <w:tcW w:w="144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r>
      <w:tr w:rsidR="00457C6B">
        <w:tc>
          <w:tcPr>
            <w:tcW w:w="2628" w:type="dxa"/>
          </w:tcPr>
          <w:p w:rsidR="00457C6B" w:rsidRDefault="0047703E">
            <w:pPr>
              <w:spacing w:before="120"/>
              <w:jc w:val="both"/>
              <w:rPr>
                <w:rFonts w:ascii="Arial" w:hAnsi="Arial" w:cs="Arial"/>
              </w:rPr>
            </w:pPr>
            <w:r>
              <w:rPr>
                <w:rFonts w:ascii="Arial" w:hAnsi="Arial" w:cs="Arial"/>
                <w:sz w:val="22"/>
                <w:szCs w:val="22"/>
              </w:rPr>
              <w:t>Canoni di locazione</w:t>
            </w:r>
          </w:p>
        </w:tc>
        <w:tc>
          <w:tcPr>
            <w:tcW w:w="1168" w:type="dxa"/>
          </w:tcPr>
          <w:p w:rsidR="00457C6B" w:rsidRDefault="00457C6B">
            <w:pPr>
              <w:spacing w:before="120"/>
              <w:jc w:val="both"/>
              <w:rPr>
                <w:rFonts w:ascii="Arial" w:hAnsi="Arial" w:cs="Arial"/>
              </w:rPr>
            </w:pPr>
          </w:p>
        </w:tc>
        <w:tc>
          <w:tcPr>
            <w:tcW w:w="144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r>
      <w:tr w:rsidR="00457C6B">
        <w:tc>
          <w:tcPr>
            <w:tcW w:w="2628" w:type="dxa"/>
          </w:tcPr>
          <w:p w:rsidR="00457C6B" w:rsidRDefault="0047703E">
            <w:pPr>
              <w:spacing w:before="120"/>
              <w:jc w:val="both"/>
              <w:rPr>
                <w:rFonts w:ascii="Arial" w:hAnsi="Arial" w:cs="Arial"/>
              </w:rPr>
            </w:pPr>
            <w:r>
              <w:rPr>
                <w:rFonts w:ascii="Arial" w:hAnsi="Arial" w:cs="Arial"/>
                <w:sz w:val="22"/>
                <w:szCs w:val="22"/>
              </w:rPr>
              <w:t>Altre da specificare</w:t>
            </w:r>
          </w:p>
        </w:tc>
        <w:tc>
          <w:tcPr>
            <w:tcW w:w="1168" w:type="dxa"/>
          </w:tcPr>
          <w:p w:rsidR="00457C6B" w:rsidRDefault="00457C6B">
            <w:pPr>
              <w:spacing w:before="120"/>
              <w:jc w:val="both"/>
              <w:rPr>
                <w:rFonts w:ascii="Arial" w:hAnsi="Arial" w:cs="Arial"/>
              </w:rPr>
            </w:pPr>
          </w:p>
        </w:tc>
        <w:tc>
          <w:tcPr>
            <w:tcW w:w="144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c>
          <w:tcPr>
            <w:tcW w:w="1260" w:type="dxa"/>
          </w:tcPr>
          <w:p w:rsidR="00457C6B" w:rsidRDefault="00457C6B">
            <w:pPr>
              <w:spacing w:before="120"/>
              <w:jc w:val="both"/>
              <w:rPr>
                <w:rFonts w:ascii="Arial" w:hAnsi="Arial" w:cs="Arial"/>
              </w:rPr>
            </w:pPr>
          </w:p>
        </w:tc>
      </w:tr>
    </w:tbl>
    <w:p w:rsidR="00457C6B" w:rsidRDefault="00457C6B">
      <w:pPr>
        <w:rPr>
          <w:rFonts w:ascii="Arial" w:hAnsi="Arial" w:cs="Arial"/>
          <w:sz w:val="22"/>
          <w:szCs w:val="22"/>
          <w:u w:val="single"/>
        </w:rPr>
      </w:pPr>
    </w:p>
    <w:p w:rsidR="00457C6B" w:rsidRDefault="0047703E">
      <w:pPr>
        <w:rPr>
          <w:rFonts w:ascii="Arial" w:hAnsi="Arial" w:cs="Arial"/>
          <w:sz w:val="22"/>
          <w:szCs w:val="22"/>
          <w:u w:val="single"/>
        </w:rPr>
      </w:pPr>
      <w:r>
        <w:rPr>
          <w:rFonts w:ascii="Arial" w:hAnsi="Arial" w:cs="Arial"/>
          <w:color w:val="0000FF"/>
          <w:sz w:val="20"/>
          <w:szCs w:val="20"/>
        </w:rPr>
        <w:t xml:space="preserve">(L’obbligo di iscrivere in bilancio un fondo svalutazione crediti di importo non inferiore al 25% dei residui attivi di cui ai titoli I e III, aventi anzianità superiore a 5 anni stabilito dall’art.6, comma 17 del D.L. 6/7/2012, n.95, convertito in Legge 135/2012, e stato abrogato a decorrere dal 1/1/2015 con la </w:t>
      </w:r>
      <w:r>
        <w:rPr>
          <w:rFonts w:ascii="Arial" w:hAnsi="Arial" w:cs="Arial"/>
          <w:sz w:val="20"/>
          <w:szCs w:val="20"/>
        </w:rPr>
        <w:t xml:space="preserve"> </w:t>
      </w:r>
      <w:r>
        <w:rPr>
          <w:rFonts w:ascii="Arial" w:hAnsi="Arial" w:cs="Arial"/>
          <w:color w:val="0000FF"/>
          <w:sz w:val="20"/>
          <w:szCs w:val="20"/>
        </w:rPr>
        <w:t xml:space="preserve">lett. f) del comma 1 dell’art. 77, </w:t>
      </w:r>
      <w:proofErr w:type="spellStart"/>
      <w:r>
        <w:rPr>
          <w:rFonts w:ascii="Arial" w:hAnsi="Arial" w:cs="Arial"/>
          <w:color w:val="0000FF"/>
          <w:sz w:val="20"/>
          <w:szCs w:val="20"/>
        </w:rPr>
        <w:t>D.Lgs.</w:t>
      </w:r>
      <w:proofErr w:type="spellEnd"/>
      <w:r>
        <w:rPr>
          <w:rFonts w:ascii="Arial" w:hAnsi="Arial" w:cs="Arial"/>
          <w:color w:val="0000FF"/>
          <w:sz w:val="20"/>
          <w:szCs w:val="20"/>
        </w:rPr>
        <w:t xml:space="preserve"> 23 giugno 2011, n. 118</w:t>
      </w:r>
      <w:r>
        <w:rPr>
          <w:rFonts w:ascii="Arial" w:hAnsi="Arial" w:cs="Arial"/>
          <w:sz w:val="20"/>
          <w:szCs w:val="20"/>
        </w:rPr>
        <w:t xml:space="preserve">, </w:t>
      </w:r>
      <w:r>
        <w:rPr>
          <w:rFonts w:ascii="Arial" w:hAnsi="Arial" w:cs="Arial"/>
          <w:color w:val="0000FF"/>
          <w:sz w:val="20"/>
          <w:szCs w:val="20"/>
        </w:rPr>
        <w:t xml:space="preserve">aggiunto dall’ </w:t>
      </w:r>
      <w:hyperlink r:id="rId71" w:history="1">
        <w:r>
          <w:rPr>
            <w:rFonts w:ascii="Arial" w:hAnsi="Arial" w:cs="Arial"/>
            <w:color w:val="0000FF"/>
            <w:sz w:val="20"/>
            <w:szCs w:val="20"/>
          </w:rPr>
          <w:t xml:space="preserve">art. 1, comma 1, lett. </w:t>
        </w:r>
        <w:proofErr w:type="spellStart"/>
        <w:r>
          <w:rPr>
            <w:rFonts w:ascii="Arial" w:hAnsi="Arial" w:cs="Arial"/>
            <w:color w:val="0000FF"/>
            <w:sz w:val="20"/>
            <w:szCs w:val="20"/>
          </w:rPr>
          <w:t>aa</w:t>
        </w:r>
        <w:proofErr w:type="spellEnd"/>
        <w:r>
          <w:rPr>
            <w:rFonts w:ascii="Arial" w:hAnsi="Arial" w:cs="Arial"/>
            <w:color w:val="0000FF"/>
            <w:sz w:val="20"/>
            <w:szCs w:val="20"/>
          </w:rPr>
          <w:t xml:space="preserve">), </w:t>
        </w:r>
        <w:proofErr w:type="spellStart"/>
        <w:r>
          <w:rPr>
            <w:rFonts w:ascii="Arial" w:hAnsi="Arial" w:cs="Arial"/>
            <w:color w:val="0000FF"/>
            <w:sz w:val="20"/>
            <w:szCs w:val="20"/>
          </w:rPr>
          <w:t>D.Lgs.</w:t>
        </w:r>
        <w:proofErr w:type="spellEnd"/>
        <w:r>
          <w:rPr>
            <w:rFonts w:ascii="Arial" w:hAnsi="Arial" w:cs="Arial"/>
            <w:color w:val="0000FF"/>
            <w:sz w:val="20"/>
            <w:szCs w:val="20"/>
          </w:rPr>
          <w:t xml:space="preserve"> 10 agosto 2014, n. 126</w:t>
        </w:r>
      </w:hyperlink>
      <w:r>
        <w:rPr>
          <w:rFonts w:ascii="Arial" w:hAnsi="Arial" w:cs="Arial"/>
          <w:color w:val="0000FF"/>
          <w:sz w:val="20"/>
          <w:szCs w:val="20"/>
        </w:rPr>
        <w:t>.</w:t>
      </w:r>
    </w:p>
    <w:p w:rsidR="00457C6B" w:rsidRDefault="00457C6B">
      <w:pPr>
        <w:jc w:val="both"/>
        <w:rPr>
          <w:rFonts w:ascii="Arial" w:hAnsi="Arial" w:cs="Arial"/>
          <w:color w:val="0000FF"/>
          <w:sz w:val="20"/>
          <w:szCs w:val="20"/>
        </w:rPr>
      </w:pPr>
    </w:p>
    <w:p w:rsidR="00457C6B" w:rsidRDefault="00457C6B">
      <w:pPr>
        <w:jc w:val="both"/>
        <w:rPr>
          <w:rFonts w:ascii="Arial" w:hAnsi="Arial" w:cs="Arial"/>
          <w:b/>
          <w:i/>
          <w:sz w:val="22"/>
          <w:szCs w:val="22"/>
        </w:rPr>
      </w:pPr>
    </w:p>
    <w:p w:rsidR="00457C6B" w:rsidRDefault="0047703E">
      <w:pPr>
        <w:pStyle w:val="Titolo3"/>
        <w:rPr>
          <w:szCs w:val="22"/>
        </w:rPr>
      </w:pPr>
      <w:r>
        <w:rPr>
          <w:szCs w:val="22"/>
        </w:rPr>
        <w:t>Fondo di riserva</w:t>
      </w:r>
    </w:p>
    <w:p w:rsidR="00457C6B" w:rsidRDefault="0047703E">
      <w:pPr>
        <w:pStyle w:val="BodyText21"/>
        <w:spacing w:before="120"/>
        <w:rPr>
          <w:rFonts w:cs="Arial"/>
          <w:b w:val="0"/>
          <w:i w:val="0"/>
          <w:sz w:val="22"/>
          <w:szCs w:val="22"/>
        </w:rPr>
      </w:pPr>
      <w:r>
        <w:rPr>
          <w:rFonts w:cs="Arial"/>
          <w:b w:val="0"/>
          <w:i w:val="0"/>
          <w:sz w:val="22"/>
          <w:szCs w:val="22"/>
        </w:rPr>
        <w:t xml:space="preserve">La consistenza del fondo di riserva ordinario rientra nei limiti previsti dall’articolo 166 del </w:t>
      </w:r>
      <w:r>
        <w:rPr>
          <w:rFonts w:cs="Arial"/>
          <w:sz w:val="20"/>
        </w:rPr>
        <w:t>TUEL</w:t>
      </w:r>
      <w:r>
        <w:rPr>
          <w:rFonts w:cs="Arial"/>
          <w:b w:val="0"/>
          <w:i w:val="0"/>
          <w:sz w:val="22"/>
          <w:szCs w:val="22"/>
        </w:rPr>
        <w:t xml:space="preserve"> ed in quelli previsti dal regolamento di contabilità ed è pari al </w:t>
      </w:r>
      <w:proofErr w:type="spellStart"/>
      <w:r>
        <w:rPr>
          <w:rFonts w:cs="Arial"/>
          <w:b w:val="0"/>
          <w:i w:val="0"/>
          <w:sz w:val="22"/>
          <w:szCs w:val="22"/>
        </w:rPr>
        <w:t>……</w:t>
      </w:r>
      <w:proofErr w:type="spellEnd"/>
      <w:r>
        <w:rPr>
          <w:rFonts w:cs="Arial"/>
          <w:b w:val="0"/>
          <w:i w:val="0"/>
          <w:sz w:val="22"/>
          <w:szCs w:val="22"/>
        </w:rPr>
        <w:t>.. % delle spese correnti.</w:t>
      </w:r>
    </w:p>
    <w:p w:rsidR="00457C6B" w:rsidRDefault="0047703E">
      <w:pPr>
        <w:rPr>
          <w:rFonts w:ascii="Arial" w:hAnsi="Arial" w:cs="Arial"/>
          <w:color w:val="0000FF"/>
          <w:sz w:val="20"/>
          <w:szCs w:val="20"/>
        </w:rPr>
      </w:pPr>
      <w:r>
        <w:rPr>
          <w:rFonts w:ascii="Arial" w:hAnsi="Arial" w:cs="Arial"/>
          <w:color w:val="0000FF"/>
          <w:sz w:val="20"/>
          <w:szCs w:val="20"/>
        </w:rPr>
        <w:t xml:space="preserve">(Gli enti locali iscrivono un fondo di riserva non inferiore allo 0,30 e non superiore al  2 per cento del totale delle spese correnti di competenza inizialmente previste in bilancio. </w:t>
      </w:r>
    </w:p>
    <w:p w:rsidR="00457C6B" w:rsidRDefault="0047703E">
      <w:pPr>
        <w:rPr>
          <w:rFonts w:ascii="Arial" w:hAnsi="Arial" w:cs="Arial"/>
          <w:color w:val="0000FF"/>
          <w:sz w:val="20"/>
          <w:szCs w:val="20"/>
        </w:rPr>
      </w:pPr>
      <w:r>
        <w:rPr>
          <w:rFonts w:ascii="Arial" w:hAnsi="Arial" w:cs="Arial"/>
          <w:color w:val="0000FF"/>
          <w:sz w:val="20"/>
          <w:szCs w:val="20"/>
        </w:rPr>
        <w:t>Il limite minimo di cui sopra è stabilito nella misura dello 0,45% del totale delle spese correnti inizialmente previste in bilancio se l’ente locale si trovi in specifiche situazioni, individuate dalla norma in esame con riferimento agli articoli 195 e 222 del TUEL, vale a dire nel caso in cui l’ente locale abbia deliberato l’utilizzo di entrate aventi specifica destinazione per il finanziamento di spese correnti o abbia deliberato anticipazioni di tesoreria.</w:t>
      </w:r>
    </w:p>
    <w:p w:rsidR="00457C6B" w:rsidRDefault="0047703E">
      <w:pPr>
        <w:pStyle w:val="provvr0"/>
        <w:rPr>
          <w:rFonts w:ascii="Arial" w:hAnsi="Arial" w:cs="Arial"/>
          <w:color w:val="0000FF"/>
          <w:sz w:val="20"/>
          <w:szCs w:val="20"/>
        </w:rPr>
      </w:pPr>
      <w:r>
        <w:rPr>
          <w:rFonts w:ascii="Arial" w:hAnsi="Arial" w:cs="Arial"/>
          <w:color w:val="0000FF"/>
          <w:sz w:val="20"/>
          <w:szCs w:val="20"/>
        </w:rPr>
        <w:t>La metà della quota minima prevista dai commi precedenti è riservata alla copertura di eventuali spese non prevedibili, la cui mancata effettuazione comporta danni certi all'amministrazione. )</w:t>
      </w:r>
    </w:p>
    <w:p w:rsidR="00457C6B" w:rsidRDefault="0047703E">
      <w:pPr>
        <w:pStyle w:val="provvr0"/>
        <w:rPr>
          <w:rFonts w:ascii="Arial" w:hAnsi="Arial" w:cs="Arial"/>
          <w:sz w:val="20"/>
          <w:szCs w:val="20"/>
        </w:rPr>
      </w:pPr>
      <w:r>
        <w:rPr>
          <w:rFonts w:ascii="Arial" w:hAnsi="Arial" w:cs="Arial"/>
          <w:sz w:val="20"/>
          <w:szCs w:val="20"/>
        </w:rPr>
        <w:br w:type="page"/>
      </w:r>
    </w:p>
    <w:p w:rsidR="00457C6B" w:rsidRDefault="00457C6B">
      <w:pPr>
        <w:pStyle w:val="provvr0"/>
      </w:pPr>
    </w:p>
    <w:p w:rsidR="00457C6B" w:rsidRDefault="0047703E">
      <w:pPr>
        <w:pStyle w:val="Titolo2"/>
      </w:pPr>
      <w:bookmarkStart w:id="36" w:name="_Toc408988072"/>
      <w:r>
        <w:t>SPESE IN CONTO CAPITALE</w:t>
      </w:r>
      <w:bookmarkEnd w:id="36"/>
    </w:p>
    <w:p w:rsidR="00457C6B" w:rsidRDefault="00457C6B"/>
    <w:p w:rsidR="00457C6B" w:rsidRDefault="0047703E">
      <w:pPr>
        <w:jc w:val="both"/>
        <w:rPr>
          <w:rFonts w:ascii="Arial" w:hAnsi="Arial" w:cs="Arial"/>
          <w:sz w:val="22"/>
          <w:szCs w:val="22"/>
        </w:rPr>
      </w:pPr>
      <w:r>
        <w:rPr>
          <w:rFonts w:ascii="Arial" w:hAnsi="Arial" w:cs="Arial"/>
          <w:sz w:val="22"/>
          <w:szCs w:val="22"/>
        </w:rPr>
        <w:t xml:space="preserve">L’ammontare della spesa in conto capitale, pari a euro </w:t>
      </w:r>
      <w:proofErr w:type="spellStart"/>
      <w:r>
        <w:rPr>
          <w:rFonts w:ascii="Arial" w:hAnsi="Arial" w:cs="Arial"/>
          <w:sz w:val="22"/>
          <w:szCs w:val="22"/>
        </w:rPr>
        <w:t>………</w:t>
      </w:r>
      <w:proofErr w:type="spellEnd"/>
      <w:r>
        <w:rPr>
          <w:rFonts w:ascii="Arial" w:hAnsi="Arial" w:cs="Arial"/>
          <w:sz w:val="22"/>
          <w:szCs w:val="22"/>
        </w:rPr>
        <w:t>.., è pareggiata dalle entrate ad essa destinate nel rispetto delle specifiche destinazioni di legge, come dimostrato nel punto 5 delle verifiche degli equilibri.</w:t>
      </w:r>
    </w:p>
    <w:p w:rsidR="00457C6B" w:rsidRDefault="00457C6B">
      <w:pPr>
        <w:rPr>
          <w:rFonts w:ascii="Arial" w:hAnsi="Arial" w:cs="Arial"/>
          <w:sz w:val="22"/>
          <w:szCs w:val="22"/>
        </w:rPr>
      </w:pPr>
    </w:p>
    <w:p w:rsidR="00457C6B" w:rsidRDefault="00457C6B">
      <w:pPr>
        <w:numPr>
          <w:ilvl w:val="12"/>
          <w:numId w:val="0"/>
        </w:numPr>
        <w:rPr>
          <w:rFonts w:ascii="Arial" w:hAnsi="Arial" w:cs="Arial"/>
          <w:sz w:val="22"/>
          <w:szCs w:val="22"/>
        </w:rPr>
      </w:pPr>
    </w:p>
    <w:p w:rsidR="00457C6B" w:rsidRDefault="0047703E">
      <w:pPr>
        <w:pStyle w:val="Titolo3"/>
        <w:jc w:val="left"/>
      </w:pPr>
      <w:r>
        <w:t>Finanziamento spese investimento con Indebitamento</w:t>
      </w:r>
    </w:p>
    <w:p w:rsidR="00457C6B" w:rsidRDefault="0047703E">
      <w:pPr>
        <w:jc w:val="both"/>
        <w:rPr>
          <w:rFonts w:ascii="Arial" w:hAnsi="Arial" w:cs="Arial"/>
          <w:sz w:val="22"/>
          <w:szCs w:val="22"/>
        </w:rPr>
      </w:pPr>
      <w:r>
        <w:rPr>
          <w:rFonts w:ascii="Arial" w:hAnsi="Arial" w:cs="Arial"/>
          <w:sz w:val="22"/>
          <w:szCs w:val="22"/>
        </w:rPr>
        <w:t xml:space="preserve">Le spese d’investimento previste nel 2015 sono finanziate con indebitamento per euro  </w:t>
      </w:r>
      <w:proofErr w:type="spellStart"/>
      <w:r>
        <w:rPr>
          <w:rFonts w:ascii="Arial" w:hAnsi="Arial" w:cs="Arial"/>
          <w:sz w:val="22"/>
          <w:szCs w:val="22"/>
        </w:rPr>
        <w:t>…………</w:t>
      </w:r>
      <w:proofErr w:type="spellEnd"/>
      <w:r>
        <w:rPr>
          <w:rFonts w:ascii="Arial" w:hAnsi="Arial" w:cs="Arial"/>
          <w:sz w:val="22"/>
          <w:szCs w:val="22"/>
        </w:rPr>
        <w:t>.  così distinto:</w:t>
      </w:r>
    </w:p>
    <w:p w:rsidR="00B31F1F" w:rsidRDefault="00B31F1F">
      <w:pPr>
        <w:jc w:val="both"/>
        <w:rPr>
          <w:rFonts w:ascii="Arial" w:hAnsi="Arial" w:cs="Arial"/>
          <w:sz w:val="22"/>
          <w:szCs w:val="22"/>
        </w:rPr>
      </w:pPr>
      <w:r w:rsidRPr="00B771D5">
        <w:rPr>
          <w:rFonts w:ascii="Arial" w:hAnsi="Arial" w:cs="Arial"/>
          <w:sz w:val="22"/>
          <w:szCs w:val="22"/>
        </w:rPr>
        <w:object w:dxaOrig="8164" w:dyaOrig="3789">
          <v:shape id="_x0000_i1051" type="#_x0000_t75" style="width:408.25pt;height:189.5pt" o:ole="">
            <v:imagedata r:id="rId72" o:title=""/>
          </v:shape>
          <o:OLEObject Type="Embed" ProgID="Excel.Sheet.8" ShapeID="_x0000_i1051" DrawAspect="Content" ObjectID="_1484374352" r:id="rId73"/>
        </w:object>
      </w:r>
    </w:p>
    <w:p w:rsidR="00AB4CC5" w:rsidRDefault="00AB4CC5">
      <w:pPr>
        <w:jc w:val="both"/>
        <w:rPr>
          <w:rFonts w:ascii="Arial" w:hAnsi="Arial" w:cs="Arial"/>
          <w:sz w:val="22"/>
          <w:szCs w:val="22"/>
        </w:rPr>
      </w:pPr>
    </w:p>
    <w:p w:rsidR="00457C6B" w:rsidRDefault="00457C6B">
      <w:pPr>
        <w:jc w:val="both"/>
        <w:rPr>
          <w:rFonts w:ascii="Arial" w:hAnsi="Arial" w:cs="Arial"/>
          <w:sz w:val="20"/>
        </w:rPr>
      </w:pPr>
    </w:p>
    <w:p w:rsidR="00457C6B" w:rsidRDefault="00457C6B">
      <w:pPr>
        <w:rPr>
          <w:rFonts w:ascii="Arial" w:hAnsi="Arial" w:cs="Arial"/>
          <w:i/>
          <w:sz w:val="20"/>
          <w:u w:val="single"/>
        </w:rPr>
      </w:pPr>
    </w:p>
    <w:p w:rsidR="00457C6B" w:rsidRDefault="0047703E">
      <w:pPr>
        <w:pStyle w:val="Titolo3"/>
      </w:pPr>
      <w:r>
        <w:t>Investimenti senza esborsi finanziari</w:t>
      </w:r>
    </w:p>
    <w:p w:rsidR="00457C6B" w:rsidRDefault="0047703E">
      <w:pPr>
        <w:jc w:val="both"/>
        <w:rPr>
          <w:rFonts w:ascii="Arial" w:hAnsi="Arial" w:cs="Arial"/>
          <w:sz w:val="22"/>
          <w:szCs w:val="22"/>
        </w:rPr>
      </w:pPr>
      <w:r>
        <w:rPr>
          <w:rFonts w:ascii="Arial" w:hAnsi="Arial" w:cs="Arial"/>
          <w:sz w:val="22"/>
          <w:szCs w:val="22"/>
        </w:rPr>
        <w:t>Oltre agli investimenti previsti nel bilancio, sono programmati per l’anno 2015 altri investimenti senza esborso finanziario come segue:</w:t>
      </w:r>
    </w:p>
    <w:p w:rsidR="00B31F1F" w:rsidRDefault="00B31F1F">
      <w:pPr>
        <w:jc w:val="both"/>
        <w:rPr>
          <w:rFonts w:ascii="Arial" w:hAnsi="Arial" w:cs="Arial"/>
          <w:sz w:val="22"/>
          <w:szCs w:val="22"/>
        </w:rPr>
      </w:pPr>
      <w:r w:rsidRPr="00B771D5">
        <w:rPr>
          <w:rFonts w:ascii="Arial" w:hAnsi="Arial" w:cs="Arial"/>
          <w:sz w:val="22"/>
          <w:szCs w:val="22"/>
        </w:rPr>
        <w:object w:dxaOrig="8164" w:dyaOrig="2049">
          <v:shape id="_x0000_i1052" type="#_x0000_t75" style="width:408.25pt;height:102.55pt" o:ole="">
            <v:imagedata r:id="rId74" o:title=""/>
          </v:shape>
          <o:OLEObject Type="Embed" ProgID="Excel.Sheet.8" ShapeID="_x0000_i1052" DrawAspect="Content" ObjectID="_1484374353" r:id="rId75"/>
        </w:object>
      </w:r>
    </w:p>
    <w:p w:rsidR="00FB57D0" w:rsidRDefault="00FB57D0">
      <w:pPr>
        <w:jc w:val="both"/>
        <w:rPr>
          <w:rFonts w:ascii="Arial" w:hAnsi="Arial" w:cs="Arial"/>
          <w:sz w:val="22"/>
          <w:szCs w:val="22"/>
        </w:rPr>
      </w:pPr>
    </w:p>
    <w:p w:rsidR="00457C6B" w:rsidRDefault="00457C6B">
      <w:pPr>
        <w:jc w:val="center"/>
        <w:rPr>
          <w:rFonts w:ascii="Arial" w:hAnsi="Arial" w:cs="Arial"/>
          <w:sz w:val="20"/>
        </w:rPr>
      </w:pPr>
    </w:p>
    <w:p w:rsidR="00457C6B" w:rsidRDefault="00457C6B">
      <w:pPr>
        <w:jc w:val="both"/>
        <w:rPr>
          <w:rFonts w:ascii="Arial" w:hAnsi="Arial" w:cs="Arial"/>
          <w:sz w:val="20"/>
        </w:rPr>
      </w:pPr>
    </w:p>
    <w:p w:rsidR="00457C6B" w:rsidRDefault="0047703E">
      <w:pPr>
        <w:numPr>
          <w:ilvl w:val="12"/>
          <w:numId w:val="0"/>
        </w:numPr>
        <w:rPr>
          <w:rFonts w:ascii="Arial" w:hAnsi="Arial" w:cs="Arial"/>
          <w:sz w:val="22"/>
          <w:szCs w:val="22"/>
        </w:rPr>
      </w:pPr>
      <w:r>
        <w:rPr>
          <w:rFonts w:ascii="Arial" w:hAnsi="Arial" w:cs="Arial"/>
          <w:sz w:val="22"/>
          <w:szCs w:val="22"/>
        </w:rPr>
        <w:t>L’ente intende acquisire i seguenti beni con contratto di locazione finanziaria:</w:t>
      </w:r>
    </w:p>
    <w:tbl>
      <w:tblPr>
        <w:tblW w:w="9560" w:type="dxa"/>
        <w:tblInd w:w="55" w:type="dxa"/>
        <w:tblCellMar>
          <w:left w:w="70" w:type="dxa"/>
          <w:right w:w="70" w:type="dxa"/>
        </w:tblCellMar>
        <w:tblLook w:val="00A0"/>
      </w:tblPr>
      <w:tblGrid>
        <w:gridCol w:w="3640"/>
        <w:gridCol w:w="1480"/>
        <w:gridCol w:w="1000"/>
        <w:gridCol w:w="1720"/>
        <w:gridCol w:w="1720"/>
      </w:tblGrid>
      <w:tr w:rsidR="00457C6B">
        <w:trPr>
          <w:trHeight w:val="255"/>
        </w:trPr>
        <w:tc>
          <w:tcPr>
            <w:tcW w:w="3640" w:type="dxa"/>
            <w:tcBorders>
              <w:top w:val="nil"/>
              <w:left w:val="nil"/>
              <w:bottom w:val="nil"/>
              <w:right w:val="nil"/>
            </w:tcBorders>
            <w:noWrap/>
            <w:vAlign w:val="bottom"/>
          </w:tcPr>
          <w:p w:rsidR="00457C6B" w:rsidRDefault="00457C6B">
            <w:pPr>
              <w:rPr>
                <w:rFonts w:ascii="Verdana" w:hAnsi="Verdana" w:cs="Arial"/>
                <w:sz w:val="20"/>
                <w:szCs w:val="20"/>
              </w:rPr>
            </w:pPr>
          </w:p>
        </w:tc>
        <w:tc>
          <w:tcPr>
            <w:tcW w:w="1480" w:type="dxa"/>
            <w:tcBorders>
              <w:top w:val="nil"/>
              <w:left w:val="nil"/>
              <w:bottom w:val="nil"/>
              <w:right w:val="nil"/>
            </w:tcBorders>
            <w:noWrap/>
            <w:vAlign w:val="bottom"/>
          </w:tcPr>
          <w:p w:rsidR="00457C6B" w:rsidRDefault="00457C6B">
            <w:pPr>
              <w:rPr>
                <w:rFonts w:ascii="Arial" w:hAnsi="Arial" w:cs="Arial"/>
                <w:sz w:val="20"/>
                <w:szCs w:val="20"/>
              </w:rPr>
            </w:pPr>
          </w:p>
        </w:tc>
        <w:tc>
          <w:tcPr>
            <w:tcW w:w="1000" w:type="dxa"/>
            <w:tcBorders>
              <w:top w:val="nil"/>
              <w:left w:val="nil"/>
              <w:bottom w:val="nil"/>
              <w:right w:val="nil"/>
            </w:tcBorders>
            <w:noWrap/>
            <w:vAlign w:val="bottom"/>
          </w:tcPr>
          <w:p w:rsidR="00457C6B" w:rsidRDefault="00457C6B">
            <w:pPr>
              <w:rPr>
                <w:rFonts w:ascii="Arial" w:hAnsi="Arial" w:cs="Arial"/>
                <w:sz w:val="20"/>
                <w:szCs w:val="20"/>
              </w:rPr>
            </w:pPr>
          </w:p>
        </w:tc>
        <w:tc>
          <w:tcPr>
            <w:tcW w:w="1720" w:type="dxa"/>
            <w:tcBorders>
              <w:top w:val="nil"/>
              <w:left w:val="nil"/>
              <w:bottom w:val="nil"/>
              <w:right w:val="nil"/>
            </w:tcBorders>
            <w:noWrap/>
            <w:vAlign w:val="bottom"/>
          </w:tcPr>
          <w:p w:rsidR="00457C6B" w:rsidRDefault="00457C6B">
            <w:pPr>
              <w:rPr>
                <w:rFonts w:ascii="Arial" w:hAnsi="Arial" w:cs="Arial"/>
                <w:sz w:val="20"/>
                <w:szCs w:val="20"/>
              </w:rPr>
            </w:pPr>
          </w:p>
        </w:tc>
        <w:tc>
          <w:tcPr>
            <w:tcW w:w="1720" w:type="dxa"/>
            <w:tcBorders>
              <w:top w:val="nil"/>
              <w:left w:val="nil"/>
              <w:bottom w:val="nil"/>
              <w:right w:val="nil"/>
            </w:tcBorders>
            <w:noWrap/>
            <w:vAlign w:val="bottom"/>
          </w:tcPr>
          <w:p w:rsidR="00457C6B" w:rsidRDefault="00457C6B">
            <w:pPr>
              <w:jc w:val="right"/>
              <w:rPr>
                <w:rFonts w:ascii="Arial" w:hAnsi="Arial" w:cs="Arial"/>
                <w:sz w:val="16"/>
                <w:szCs w:val="16"/>
              </w:rPr>
            </w:pPr>
          </w:p>
        </w:tc>
      </w:tr>
      <w:tr w:rsidR="00457C6B">
        <w:trPr>
          <w:trHeight w:val="510"/>
        </w:trPr>
        <w:tc>
          <w:tcPr>
            <w:tcW w:w="3640" w:type="dxa"/>
            <w:tcBorders>
              <w:top w:val="single" w:sz="4" w:space="0" w:color="auto"/>
              <w:left w:val="single" w:sz="4" w:space="0" w:color="auto"/>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Bene utilizzato</w:t>
            </w:r>
          </w:p>
        </w:tc>
        <w:tc>
          <w:tcPr>
            <w:tcW w:w="1480" w:type="dxa"/>
            <w:tcBorders>
              <w:top w:val="single" w:sz="4" w:space="0" w:color="auto"/>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Costo per il concedente</w:t>
            </w:r>
          </w:p>
        </w:tc>
        <w:tc>
          <w:tcPr>
            <w:tcW w:w="1000" w:type="dxa"/>
            <w:tcBorders>
              <w:top w:val="single" w:sz="4" w:space="0" w:color="auto"/>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Durata in mesi</w:t>
            </w:r>
          </w:p>
        </w:tc>
        <w:tc>
          <w:tcPr>
            <w:tcW w:w="1720" w:type="dxa"/>
            <w:tcBorders>
              <w:top w:val="single" w:sz="4" w:space="0" w:color="auto"/>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Canone annuo</w:t>
            </w:r>
          </w:p>
        </w:tc>
        <w:tc>
          <w:tcPr>
            <w:tcW w:w="1720" w:type="dxa"/>
            <w:tcBorders>
              <w:top w:val="single" w:sz="4" w:space="0" w:color="auto"/>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Costo riscatto</w:t>
            </w:r>
          </w:p>
        </w:tc>
      </w:tr>
      <w:tr w:rsidR="00457C6B">
        <w:trPr>
          <w:trHeight w:val="330"/>
        </w:trPr>
        <w:tc>
          <w:tcPr>
            <w:tcW w:w="3640" w:type="dxa"/>
            <w:tcBorders>
              <w:top w:val="nil"/>
              <w:left w:val="single" w:sz="4" w:space="0" w:color="auto"/>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tcPr>
          <w:p w:rsidR="00457C6B" w:rsidRDefault="0047703E">
            <w:pPr>
              <w:rPr>
                <w:rFonts w:ascii="Verdana" w:hAnsi="Verdana" w:cs="Arial"/>
                <w:b/>
                <w:bCs/>
                <w:i/>
                <w:iCs/>
              </w:rPr>
            </w:pPr>
            <w:r>
              <w:rPr>
                <w:rFonts w:ascii="Verdana" w:hAnsi="Verdana" w:cs="Arial"/>
                <w:b/>
                <w:bCs/>
                <w:i/>
                <w:iCs/>
              </w:rPr>
              <w:t> </w:t>
            </w:r>
          </w:p>
        </w:tc>
        <w:tc>
          <w:tcPr>
            <w:tcW w:w="1000" w:type="dxa"/>
            <w:tcBorders>
              <w:top w:val="nil"/>
              <w:left w:val="nil"/>
              <w:bottom w:val="single" w:sz="4" w:space="0" w:color="auto"/>
              <w:right w:val="single" w:sz="4" w:space="0" w:color="auto"/>
            </w:tcBorders>
          </w:tcPr>
          <w:p w:rsidR="00457C6B" w:rsidRDefault="0047703E">
            <w:pPr>
              <w:rPr>
                <w:rFonts w:ascii="Verdana" w:hAnsi="Verdana" w:cs="Arial"/>
                <w:b/>
                <w:bCs/>
                <w:i/>
                <w:iCs/>
              </w:rPr>
            </w:pPr>
            <w:r>
              <w:rPr>
                <w:rFonts w:ascii="Verdana" w:hAnsi="Verdana" w:cs="Arial"/>
                <w:b/>
                <w:bCs/>
                <w:i/>
                <w:iCs/>
              </w:rPr>
              <w:t> </w:t>
            </w:r>
          </w:p>
        </w:tc>
        <w:tc>
          <w:tcPr>
            <w:tcW w:w="1720" w:type="dxa"/>
            <w:tcBorders>
              <w:top w:val="nil"/>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c>
          <w:tcPr>
            <w:tcW w:w="1720" w:type="dxa"/>
            <w:tcBorders>
              <w:top w:val="nil"/>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r>
      <w:tr w:rsidR="00457C6B">
        <w:trPr>
          <w:trHeight w:val="330"/>
        </w:trPr>
        <w:tc>
          <w:tcPr>
            <w:tcW w:w="3640" w:type="dxa"/>
            <w:tcBorders>
              <w:top w:val="nil"/>
              <w:left w:val="single" w:sz="4" w:space="0" w:color="auto"/>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tcPr>
          <w:p w:rsidR="00457C6B" w:rsidRDefault="0047703E">
            <w:pPr>
              <w:rPr>
                <w:rFonts w:ascii="Verdana" w:hAnsi="Verdana" w:cs="Arial"/>
                <w:b/>
                <w:bCs/>
                <w:i/>
                <w:iCs/>
              </w:rPr>
            </w:pPr>
            <w:r>
              <w:rPr>
                <w:rFonts w:ascii="Verdana" w:hAnsi="Verdana" w:cs="Arial"/>
                <w:b/>
                <w:bCs/>
                <w:i/>
                <w:iCs/>
              </w:rPr>
              <w:t> </w:t>
            </w:r>
          </w:p>
        </w:tc>
        <w:tc>
          <w:tcPr>
            <w:tcW w:w="1000" w:type="dxa"/>
            <w:tcBorders>
              <w:top w:val="nil"/>
              <w:left w:val="nil"/>
              <w:bottom w:val="single" w:sz="4" w:space="0" w:color="auto"/>
              <w:right w:val="single" w:sz="4" w:space="0" w:color="auto"/>
            </w:tcBorders>
          </w:tcPr>
          <w:p w:rsidR="00457C6B" w:rsidRDefault="0047703E">
            <w:pPr>
              <w:rPr>
                <w:rFonts w:ascii="Verdana" w:hAnsi="Verdana" w:cs="Arial"/>
                <w:b/>
                <w:bCs/>
                <w:i/>
                <w:iCs/>
              </w:rPr>
            </w:pPr>
            <w:r>
              <w:rPr>
                <w:rFonts w:ascii="Verdana" w:hAnsi="Verdana" w:cs="Arial"/>
                <w:b/>
                <w:bCs/>
                <w:i/>
                <w:iCs/>
              </w:rPr>
              <w:t> </w:t>
            </w:r>
          </w:p>
        </w:tc>
        <w:tc>
          <w:tcPr>
            <w:tcW w:w="1720" w:type="dxa"/>
            <w:tcBorders>
              <w:top w:val="nil"/>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c>
          <w:tcPr>
            <w:tcW w:w="1720" w:type="dxa"/>
            <w:tcBorders>
              <w:top w:val="nil"/>
              <w:left w:val="nil"/>
              <w:bottom w:val="single" w:sz="4" w:space="0" w:color="auto"/>
              <w:right w:val="single" w:sz="4" w:space="0" w:color="auto"/>
            </w:tcBorders>
          </w:tcPr>
          <w:p w:rsidR="00457C6B" w:rsidRDefault="0047703E">
            <w:pPr>
              <w:jc w:val="center"/>
              <w:rPr>
                <w:rFonts w:ascii="Arial" w:hAnsi="Arial" w:cs="Arial"/>
                <w:b/>
                <w:bCs/>
                <w:sz w:val="20"/>
                <w:szCs w:val="20"/>
              </w:rPr>
            </w:pPr>
            <w:r>
              <w:rPr>
                <w:rFonts w:ascii="Arial" w:hAnsi="Arial" w:cs="Arial"/>
                <w:b/>
                <w:bCs/>
                <w:sz w:val="20"/>
                <w:szCs w:val="20"/>
              </w:rPr>
              <w:t> </w:t>
            </w:r>
          </w:p>
        </w:tc>
      </w:tr>
    </w:tbl>
    <w:p w:rsidR="00457C6B" w:rsidRDefault="00457C6B">
      <w:pPr>
        <w:numPr>
          <w:ilvl w:val="12"/>
          <w:numId w:val="0"/>
        </w:numPr>
        <w:rPr>
          <w:rFonts w:ascii="Arial" w:hAnsi="Arial" w:cs="Arial"/>
          <w:sz w:val="22"/>
          <w:szCs w:val="22"/>
        </w:rPr>
      </w:pPr>
    </w:p>
    <w:p w:rsidR="00457C6B" w:rsidRDefault="00457C6B">
      <w:pPr>
        <w:numPr>
          <w:ilvl w:val="12"/>
          <w:numId w:val="0"/>
        </w:numPr>
        <w:rPr>
          <w:rFonts w:ascii="Arial" w:hAnsi="Arial" w:cs="Arial"/>
          <w:sz w:val="22"/>
          <w:szCs w:val="22"/>
        </w:rPr>
      </w:pPr>
    </w:p>
    <w:p w:rsidR="00457C6B" w:rsidRDefault="00457C6B">
      <w:pPr>
        <w:numPr>
          <w:ilvl w:val="12"/>
          <w:numId w:val="0"/>
        </w:numPr>
        <w:rPr>
          <w:rFonts w:ascii="Arial" w:hAnsi="Arial" w:cs="Arial"/>
          <w:sz w:val="22"/>
          <w:szCs w:val="22"/>
        </w:rPr>
      </w:pPr>
    </w:p>
    <w:p w:rsidR="00457C6B" w:rsidRDefault="00457C6B">
      <w:pPr>
        <w:numPr>
          <w:ilvl w:val="12"/>
          <w:numId w:val="0"/>
        </w:numPr>
        <w:rPr>
          <w:rFonts w:ascii="Arial" w:hAnsi="Arial" w:cs="Arial"/>
          <w:sz w:val="22"/>
          <w:szCs w:val="22"/>
        </w:rPr>
      </w:pPr>
    </w:p>
    <w:p w:rsidR="00FB57D0" w:rsidRDefault="00FB57D0">
      <w:pPr>
        <w:numPr>
          <w:ilvl w:val="12"/>
          <w:numId w:val="0"/>
        </w:numPr>
        <w:rPr>
          <w:rFonts w:ascii="Arial" w:hAnsi="Arial" w:cs="Arial"/>
          <w:sz w:val="22"/>
          <w:szCs w:val="22"/>
        </w:rPr>
      </w:pPr>
    </w:p>
    <w:p w:rsidR="00FB57D0" w:rsidRDefault="00FB57D0">
      <w:pPr>
        <w:numPr>
          <w:ilvl w:val="12"/>
          <w:numId w:val="0"/>
        </w:numPr>
        <w:rPr>
          <w:rFonts w:ascii="Arial" w:hAnsi="Arial" w:cs="Arial"/>
          <w:sz w:val="22"/>
          <w:szCs w:val="22"/>
        </w:rPr>
      </w:pPr>
    </w:p>
    <w:p w:rsidR="00457C6B" w:rsidRDefault="00457C6B">
      <w:pPr>
        <w:numPr>
          <w:ilvl w:val="12"/>
          <w:numId w:val="0"/>
        </w:numPr>
        <w:rPr>
          <w:rFonts w:ascii="Arial" w:hAnsi="Arial" w:cs="Arial"/>
          <w:sz w:val="22"/>
          <w:szCs w:val="22"/>
        </w:rPr>
      </w:pPr>
    </w:p>
    <w:p w:rsidR="00457C6B" w:rsidRDefault="0047703E">
      <w:pPr>
        <w:numPr>
          <w:ilvl w:val="12"/>
          <w:numId w:val="0"/>
        </w:numPr>
        <w:rPr>
          <w:rFonts w:ascii="Verdana" w:hAnsi="Verdana"/>
          <w:b/>
          <w:color w:val="0000FF"/>
          <w:sz w:val="22"/>
          <w:szCs w:val="22"/>
          <w:u w:val="single"/>
        </w:rPr>
      </w:pPr>
      <w:r>
        <w:rPr>
          <w:rFonts w:ascii="Verdana" w:hAnsi="Verdana"/>
          <w:b/>
          <w:color w:val="0000FF"/>
          <w:sz w:val="22"/>
          <w:szCs w:val="22"/>
          <w:u w:val="single"/>
        </w:rPr>
        <w:t>Proventi da alienazioni immobiliari</w:t>
      </w:r>
    </w:p>
    <w:p w:rsidR="00457C6B" w:rsidRDefault="00457C6B">
      <w:pPr>
        <w:numPr>
          <w:ilvl w:val="12"/>
          <w:numId w:val="0"/>
        </w:numPr>
        <w:rPr>
          <w:rFonts w:ascii="Verdana" w:hAnsi="Verdana"/>
          <w:color w:val="0000FF"/>
          <w:sz w:val="22"/>
          <w:szCs w:val="22"/>
          <w:u w:val="single"/>
        </w:rPr>
      </w:pPr>
    </w:p>
    <w:p w:rsidR="00457C6B" w:rsidRDefault="0047703E">
      <w:pPr>
        <w:autoSpaceDE w:val="0"/>
        <w:autoSpaceDN w:val="0"/>
        <w:adjustRightInd w:val="0"/>
        <w:jc w:val="both"/>
        <w:rPr>
          <w:rFonts w:ascii="Arial" w:hAnsi="Arial" w:cs="Arial"/>
          <w:i/>
          <w:color w:val="0000FF"/>
          <w:sz w:val="20"/>
          <w:szCs w:val="20"/>
        </w:rPr>
      </w:pPr>
      <w:r>
        <w:rPr>
          <w:rFonts w:ascii="Arial" w:hAnsi="Arial" w:cs="Arial"/>
          <w:i/>
          <w:color w:val="0000FF"/>
          <w:sz w:val="20"/>
          <w:szCs w:val="20"/>
        </w:rPr>
        <w:t>L’articolo 56 bis, comma 11 del Dl 69/2013 obbliga gli enti a destinare il 10% dei proventi netti da alienazione al fondo ammortamento dei titoli di stato.</w:t>
      </w:r>
    </w:p>
    <w:p w:rsidR="00457C6B" w:rsidRDefault="0047703E">
      <w:pPr>
        <w:autoSpaceDE w:val="0"/>
        <w:autoSpaceDN w:val="0"/>
        <w:adjustRightInd w:val="0"/>
        <w:jc w:val="both"/>
        <w:rPr>
          <w:rFonts w:ascii="Arial" w:hAnsi="Arial" w:cs="Arial"/>
          <w:i/>
          <w:color w:val="0000FF"/>
          <w:sz w:val="20"/>
          <w:szCs w:val="20"/>
        </w:rPr>
      </w:pPr>
      <w:r>
        <w:rPr>
          <w:rFonts w:ascii="Arial" w:hAnsi="Arial" w:cs="Arial"/>
          <w:i/>
          <w:color w:val="0000FF"/>
          <w:sz w:val="20"/>
          <w:szCs w:val="20"/>
        </w:rPr>
        <w:t>Le modalità attuative saranno disposte con decreto nel frattempo occorre destinare il 10% della  entrata ad impegno nel titolo II della spesa o vincolare una parte dell’avanzo d’amministrazione.</w:t>
      </w:r>
    </w:p>
    <w:p w:rsidR="00457C6B" w:rsidRDefault="00457C6B">
      <w:pPr>
        <w:autoSpaceDE w:val="0"/>
        <w:autoSpaceDN w:val="0"/>
        <w:adjustRightInd w:val="0"/>
        <w:jc w:val="both"/>
        <w:rPr>
          <w:rFonts w:ascii="Arial" w:hAnsi="Arial" w:cs="Arial"/>
          <w:i/>
          <w:color w:val="0000FF"/>
          <w:sz w:val="20"/>
          <w:szCs w:val="20"/>
        </w:rPr>
      </w:pPr>
    </w:p>
    <w:p w:rsidR="00457C6B" w:rsidRDefault="0047703E">
      <w:pPr>
        <w:pStyle w:val="Titolo3"/>
        <w:rPr>
          <w:rStyle w:val="Enfasigrassetto"/>
          <w:b/>
          <w:bCs/>
          <w:szCs w:val="22"/>
        </w:rPr>
      </w:pPr>
      <w:r>
        <w:rPr>
          <w:rStyle w:val="Enfasigrassetto"/>
          <w:b/>
          <w:bCs/>
          <w:szCs w:val="22"/>
        </w:rPr>
        <w:t>Limitazione acquisto immobili</w:t>
      </w:r>
    </w:p>
    <w:p w:rsidR="00457C6B" w:rsidRDefault="00457C6B">
      <w:pPr>
        <w:jc w:val="both"/>
        <w:rPr>
          <w:rStyle w:val="Enfasigrassetto"/>
          <w:rFonts w:ascii="Arial" w:hAnsi="Arial" w:cs="Arial"/>
          <w:bCs/>
          <w:sz w:val="22"/>
          <w:szCs w:val="22"/>
        </w:rPr>
      </w:pPr>
    </w:p>
    <w:p w:rsidR="00457C6B" w:rsidRDefault="0047703E">
      <w:pPr>
        <w:jc w:val="both"/>
        <w:rPr>
          <w:rFonts w:ascii="Arial" w:hAnsi="Arial" w:cs="Arial"/>
          <w:sz w:val="22"/>
          <w:szCs w:val="22"/>
        </w:rPr>
      </w:pPr>
      <w:r>
        <w:rPr>
          <w:rFonts w:ascii="Arial" w:hAnsi="Arial" w:cs="Arial"/>
          <w:sz w:val="22"/>
          <w:szCs w:val="22"/>
        </w:rPr>
        <w:t>La spesa prevista per acquisto immobili rientra nei limiti disposti dall’art.1, comma 138 della Legge 24/12/2012 n.228.</w:t>
      </w:r>
    </w:p>
    <w:p w:rsidR="00457C6B" w:rsidRDefault="0047703E">
      <w:pPr>
        <w:jc w:val="both"/>
        <w:rPr>
          <w:rFonts w:ascii="Arial" w:hAnsi="Arial" w:cs="Arial"/>
          <w:i/>
          <w:color w:val="0000FF"/>
          <w:sz w:val="20"/>
          <w:szCs w:val="20"/>
        </w:rPr>
      </w:pPr>
      <w:r>
        <w:rPr>
          <w:rFonts w:ascii="Arial" w:hAnsi="Arial" w:cs="Arial"/>
          <w:i/>
          <w:color w:val="0000FF"/>
          <w:sz w:val="20"/>
          <w:szCs w:val="20"/>
        </w:rPr>
        <w:t xml:space="preserve">(Ai sensi del comma 1 </w:t>
      </w:r>
      <w:proofErr w:type="spellStart"/>
      <w:r>
        <w:rPr>
          <w:rFonts w:ascii="Arial" w:hAnsi="Arial" w:cs="Arial"/>
          <w:i/>
          <w:color w:val="0000FF"/>
          <w:sz w:val="20"/>
          <w:szCs w:val="20"/>
        </w:rPr>
        <w:t>ter</w:t>
      </w:r>
      <w:proofErr w:type="spellEnd"/>
      <w:r>
        <w:rPr>
          <w:rFonts w:ascii="Arial" w:hAnsi="Arial" w:cs="Arial"/>
          <w:i/>
          <w:color w:val="0000FF"/>
          <w:sz w:val="20"/>
          <w:szCs w:val="20"/>
        </w:rPr>
        <w:t xml:space="preserve"> dell'articolo 12 del D.L. 6 luglio 2011, n. 98, convertito, con modificazioni, dalla Legge 15 luglio 2011, n. 111, a decorrere dal 1º gennaio 2014 al fine di pervenire a risparmi di spesa ulteriori rispetto a quelli previsti dal patto di stabilità interno, gli enti territoriali effettuano operazioni di acquisto di immobili solo:</w:t>
      </w:r>
    </w:p>
    <w:p w:rsidR="00457C6B" w:rsidRDefault="0047703E">
      <w:pPr>
        <w:jc w:val="both"/>
        <w:rPr>
          <w:rFonts w:ascii="Arial" w:hAnsi="Arial" w:cs="Arial"/>
          <w:i/>
          <w:color w:val="0000FF"/>
          <w:sz w:val="20"/>
          <w:szCs w:val="20"/>
        </w:rPr>
      </w:pPr>
      <w:r>
        <w:rPr>
          <w:rFonts w:ascii="Arial" w:hAnsi="Arial" w:cs="Arial"/>
          <w:i/>
          <w:color w:val="0000FF"/>
          <w:sz w:val="20"/>
          <w:szCs w:val="20"/>
        </w:rPr>
        <w:t xml:space="preserve">a) siano comprovate </w:t>
      </w:r>
      <w:proofErr w:type="spellStart"/>
      <w:r>
        <w:rPr>
          <w:rFonts w:ascii="Arial" w:hAnsi="Arial" w:cs="Arial"/>
          <w:i/>
          <w:color w:val="0000FF"/>
          <w:sz w:val="20"/>
          <w:szCs w:val="20"/>
        </w:rPr>
        <w:t>documentalmente</w:t>
      </w:r>
      <w:proofErr w:type="spellEnd"/>
      <w:r>
        <w:rPr>
          <w:rFonts w:ascii="Arial" w:hAnsi="Arial" w:cs="Arial"/>
          <w:i/>
          <w:color w:val="0000FF"/>
          <w:sz w:val="20"/>
          <w:szCs w:val="20"/>
        </w:rPr>
        <w:t xml:space="preserve"> l'indispensabilità e l'</w:t>
      </w:r>
      <w:proofErr w:type="spellStart"/>
      <w:r>
        <w:rPr>
          <w:rFonts w:ascii="Arial" w:hAnsi="Arial" w:cs="Arial"/>
          <w:i/>
          <w:color w:val="0000FF"/>
          <w:sz w:val="20"/>
          <w:szCs w:val="20"/>
        </w:rPr>
        <w:t>indilazionabilità</w:t>
      </w:r>
      <w:proofErr w:type="spellEnd"/>
      <w:r>
        <w:rPr>
          <w:rFonts w:ascii="Arial" w:hAnsi="Arial" w:cs="Arial"/>
          <w:i/>
          <w:color w:val="0000FF"/>
          <w:sz w:val="20"/>
          <w:szCs w:val="20"/>
        </w:rPr>
        <w:t xml:space="preserve"> attestate dal responsabile del procedimento;</w:t>
      </w:r>
    </w:p>
    <w:p w:rsidR="00457C6B" w:rsidRDefault="0047703E">
      <w:pPr>
        <w:jc w:val="both"/>
        <w:rPr>
          <w:rFonts w:ascii="Arial" w:hAnsi="Arial" w:cs="Arial"/>
          <w:i/>
          <w:color w:val="0000FF"/>
          <w:sz w:val="20"/>
          <w:szCs w:val="20"/>
        </w:rPr>
      </w:pPr>
      <w:r>
        <w:rPr>
          <w:rFonts w:ascii="Arial" w:hAnsi="Arial" w:cs="Arial"/>
          <w:i/>
          <w:color w:val="0000FF"/>
          <w:sz w:val="20"/>
          <w:szCs w:val="20"/>
        </w:rPr>
        <w:t>b) la congruità del prezzo sia attestata dall'Agenzia del demanio, previo rimborso delle spese.</w:t>
      </w:r>
    </w:p>
    <w:p w:rsidR="00457C6B" w:rsidRDefault="0047703E">
      <w:pPr>
        <w:jc w:val="both"/>
        <w:rPr>
          <w:rFonts w:ascii="Arial" w:hAnsi="Arial" w:cs="Arial"/>
          <w:color w:val="0000FF"/>
          <w:sz w:val="20"/>
          <w:szCs w:val="20"/>
        </w:rPr>
      </w:pPr>
      <w:r>
        <w:rPr>
          <w:rFonts w:ascii="Arial" w:hAnsi="Arial" w:cs="Arial"/>
          <w:i/>
          <w:color w:val="0000FF"/>
          <w:sz w:val="20"/>
          <w:szCs w:val="20"/>
        </w:rPr>
        <w:t>c) delle predette operazioni sia data preventiva notizia, con l'indicazione del soggetto alienante e del prezzo pattuito, nel sito internet istituzionale dell'ente</w:t>
      </w:r>
      <w:r>
        <w:rPr>
          <w:rFonts w:ascii="Arial" w:hAnsi="Arial" w:cs="Arial"/>
          <w:color w:val="0000FF"/>
          <w:sz w:val="20"/>
          <w:szCs w:val="20"/>
        </w:rPr>
        <w:t>.)</w:t>
      </w:r>
    </w:p>
    <w:p w:rsidR="00457C6B" w:rsidRDefault="00457C6B">
      <w:pPr>
        <w:jc w:val="both"/>
        <w:rPr>
          <w:rFonts w:ascii="Arial" w:hAnsi="Arial" w:cs="Arial"/>
          <w:b/>
          <w:i/>
          <w:color w:val="0000FF"/>
          <w:sz w:val="18"/>
          <w:szCs w:val="18"/>
        </w:rPr>
      </w:pPr>
    </w:p>
    <w:p w:rsidR="00457C6B" w:rsidRDefault="0047703E">
      <w:pPr>
        <w:pStyle w:val="Titolo3"/>
      </w:pPr>
      <w:r>
        <w:t>Limitazione acquisto mobili e arredi</w:t>
      </w:r>
    </w:p>
    <w:p w:rsidR="00457C6B" w:rsidRDefault="0047703E">
      <w:pPr>
        <w:pStyle w:val="NormaleWeb"/>
        <w:jc w:val="both"/>
        <w:rPr>
          <w:rFonts w:ascii="Arial" w:hAnsi="Arial" w:cs="Arial"/>
          <w:sz w:val="22"/>
          <w:szCs w:val="22"/>
        </w:rPr>
      </w:pPr>
      <w:r>
        <w:rPr>
          <w:rFonts w:ascii="Arial" w:hAnsi="Arial" w:cs="Arial"/>
          <w:sz w:val="22"/>
          <w:szCs w:val="22"/>
        </w:rPr>
        <w:t>La spesa prevista nell’anno 2015 per acquisto mobili e arredi rientra nei limiti disposti dall’art.1, comma 141 della Legge 24/12/2012 n.228.</w:t>
      </w:r>
    </w:p>
    <w:p w:rsidR="00457C6B" w:rsidRDefault="0047703E">
      <w:pPr>
        <w:pStyle w:val="NormaleWeb"/>
        <w:jc w:val="both"/>
        <w:rPr>
          <w:rFonts w:ascii="Arial" w:hAnsi="Arial" w:cs="Arial"/>
          <w:color w:val="0000FF"/>
          <w:sz w:val="20"/>
          <w:szCs w:val="20"/>
          <w:u w:val="single"/>
        </w:rPr>
      </w:pPr>
      <w:r>
        <w:rPr>
          <w:rFonts w:ascii="Arial" w:hAnsi="Arial" w:cs="Arial"/>
          <w:color w:val="0000FF"/>
          <w:sz w:val="20"/>
          <w:szCs w:val="20"/>
        </w:rPr>
        <w:t xml:space="preserve">(Negli anni 201, 2014 e 2015 gli enti locali non possono effettuare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
    <w:p w:rsidR="00457C6B" w:rsidRDefault="00457C6B">
      <w:pPr>
        <w:jc w:val="both"/>
        <w:rPr>
          <w:rFonts w:ascii="Arial" w:hAnsi="Arial" w:cs="Arial"/>
          <w:b/>
          <w:i/>
          <w:color w:val="0000FF"/>
          <w:sz w:val="18"/>
          <w:szCs w:val="18"/>
        </w:rPr>
      </w:pPr>
    </w:p>
    <w:p w:rsidR="00457C6B" w:rsidRDefault="0047703E">
      <w:pPr>
        <w:pStyle w:val="provvr0"/>
        <w:rPr>
          <w:rFonts w:cs="Arial"/>
          <w:b/>
          <w:i/>
          <w:sz w:val="18"/>
          <w:szCs w:val="18"/>
        </w:rPr>
      </w:pPr>
      <w:r>
        <w:rPr>
          <w:rFonts w:ascii="Arial" w:hAnsi="Arial" w:cs="Arial"/>
          <w:b/>
          <w:color w:val="17365D"/>
          <w:sz w:val="20"/>
        </w:rPr>
        <w:br w:type="page"/>
      </w: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57C6B">
      <w:pPr>
        <w:pStyle w:val="BodyText21"/>
        <w:spacing w:before="120"/>
        <w:rPr>
          <w:rFonts w:cs="Arial"/>
          <w:b w:val="0"/>
          <w:i w:val="0"/>
          <w:sz w:val="18"/>
          <w:szCs w:val="18"/>
        </w:rPr>
      </w:pPr>
    </w:p>
    <w:p w:rsidR="00457C6B" w:rsidRDefault="0047703E">
      <w:pPr>
        <w:pStyle w:val="Titolo1"/>
        <w:rPr>
          <w:sz w:val="32"/>
          <w:szCs w:val="32"/>
        </w:rPr>
      </w:pPr>
      <w:bookmarkStart w:id="37" w:name="_ORGANISMI_PARTECIPATI"/>
      <w:bookmarkStart w:id="38" w:name="_Toc408988073"/>
      <w:bookmarkEnd w:id="37"/>
      <w:r>
        <w:rPr>
          <w:sz w:val="32"/>
          <w:szCs w:val="32"/>
        </w:rPr>
        <w:t>ORGANISMI PARTECIPATI</w:t>
      </w:r>
      <w:bookmarkEnd w:id="38"/>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57C6B">
      <w:pPr>
        <w:pStyle w:val="BodyText21"/>
        <w:spacing w:before="120"/>
        <w:rPr>
          <w:rFonts w:cs="Arial"/>
          <w:b w:val="0"/>
          <w:i w:val="0"/>
          <w:sz w:val="20"/>
        </w:rPr>
      </w:pPr>
    </w:p>
    <w:p w:rsidR="00457C6B" w:rsidRDefault="0047703E">
      <w:pPr>
        <w:pStyle w:val="BodyText21"/>
        <w:spacing w:before="120"/>
        <w:rPr>
          <w:rFonts w:cs="Arial"/>
          <w:b w:val="0"/>
          <w:i w:val="0"/>
          <w:sz w:val="20"/>
        </w:rPr>
      </w:pPr>
      <w:r>
        <w:rPr>
          <w:rFonts w:cs="Arial"/>
          <w:b w:val="0"/>
          <w:i w:val="0"/>
          <w:sz w:val="20"/>
        </w:rPr>
        <w:br w:type="page"/>
      </w:r>
    </w:p>
    <w:p w:rsidR="00457C6B" w:rsidRDefault="0047703E">
      <w:pPr>
        <w:pStyle w:val="BodyText21"/>
        <w:spacing w:before="120"/>
        <w:rPr>
          <w:rFonts w:cs="Arial"/>
          <w:b w:val="0"/>
          <w:i w:val="0"/>
          <w:sz w:val="20"/>
        </w:rPr>
      </w:pPr>
      <w:r>
        <w:rPr>
          <w:rFonts w:cs="Arial"/>
          <w:b w:val="0"/>
          <w:i w:val="0"/>
          <w:sz w:val="20"/>
        </w:rPr>
        <w:lastRenderedPageBreak/>
        <w:t xml:space="preserve">Nel corso del 2014 l’ente ha provveduto ad </w:t>
      </w:r>
      <w:proofErr w:type="spellStart"/>
      <w:r>
        <w:rPr>
          <w:rFonts w:cs="Arial"/>
          <w:b w:val="0"/>
          <w:i w:val="0"/>
          <w:sz w:val="20"/>
        </w:rPr>
        <w:t>esternalizzare</w:t>
      </w:r>
      <w:proofErr w:type="spellEnd"/>
      <w:r>
        <w:rPr>
          <w:rFonts w:cs="Arial"/>
          <w:b w:val="0"/>
          <w:i w:val="0"/>
          <w:sz w:val="20"/>
        </w:rPr>
        <w:t xml:space="preserve"> i seguenti servizi:</w:t>
      </w:r>
      <w:proofErr w:type="spellStart"/>
      <w:r>
        <w:rPr>
          <w:rFonts w:cs="Arial"/>
          <w:b w:val="0"/>
          <w:i w:val="0"/>
          <w:sz w:val="20"/>
        </w:rPr>
        <w:t>…………</w:t>
      </w:r>
      <w:proofErr w:type="spellEnd"/>
      <w:r>
        <w:rPr>
          <w:rFonts w:cs="Arial"/>
          <w:b w:val="0"/>
          <w:i w:val="0"/>
          <w:sz w:val="20"/>
        </w:rPr>
        <w:t>..</w:t>
      </w:r>
    </w:p>
    <w:p w:rsidR="00457C6B" w:rsidRDefault="0047703E">
      <w:pPr>
        <w:pStyle w:val="BodyText21"/>
        <w:spacing w:before="120"/>
        <w:rPr>
          <w:rFonts w:cs="Arial"/>
          <w:b w:val="0"/>
          <w:i w:val="0"/>
          <w:sz w:val="20"/>
        </w:rPr>
      </w:pPr>
      <w:r>
        <w:rPr>
          <w:rFonts w:cs="Arial"/>
          <w:b w:val="0"/>
          <w:i w:val="0"/>
          <w:sz w:val="20"/>
        </w:rPr>
        <w:t xml:space="preserve">L’ente ha adottato i provvedimenti di trasferimento delle risorse umane, finanziarie e strumentali in misura adeguata alle funzioni </w:t>
      </w:r>
      <w:proofErr w:type="spellStart"/>
      <w:r>
        <w:rPr>
          <w:rFonts w:cs="Arial"/>
          <w:b w:val="0"/>
          <w:i w:val="0"/>
          <w:sz w:val="20"/>
        </w:rPr>
        <w:t>esternalizzate</w:t>
      </w:r>
      <w:proofErr w:type="spellEnd"/>
      <w:r>
        <w:rPr>
          <w:rFonts w:cs="Arial"/>
          <w:b w:val="0"/>
          <w:i w:val="0"/>
          <w:sz w:val="20"/>
        </w:rPr>
        <w:t xml:space="preserve">. </w:t>
      </w:r>
    </w:p>
    <w:p w:rsidR="00457C6B" w:rsidRDefault="0047703E">
      <w:pPr>
        <w:pStyle w:val="BodyText21"/>
        <w:spacing w:before="120"/>
        <w:rPr>
          <w:rFonts w:cs="Arial"/>
          <w:b w:val="0"/>
          <w:i w:val="0"/>
          <w:sz w:val="20"/>
        </w:rPr>
      </w:pPr>
      <w:r>
        <w:rPr>
          <w:rFonts w:cs="Arial"/>
          <w:b w:val="0"/>
          <w:i w:val="0"/>
          <w:sz w:val="20"/>
        </w:rPr>
        <w:t xml:space="preserve">Per l’anno 2015, l’ente prevede di </w:t>
      </w:r>
      <w:proofErr w:type="spellStart"/>
      <w:r>
        <w:rPr>
          <w:rFonts w:cs="Arial"/>
          <w:b w:val="0"/>
          <w:i w:val="0"/>
          <w:sz w:val="20"/>
        </w:rPr>
        <w:t>esternalizzare</w:t>
      </w:r>
      <w:proofErr w:type="spellEnd"/>
      <w:r>
        <w:rPr>
          <w:rFonts w:cs="Arial"/>
          <w:b w:val="0"/>
          <w:i w:val="0"/>
          <w:sz w:val="20"/>
        </w:rPr>
        <w:t xml:space="preserve"> i seguenti servizi:</w:t>
      </w:r>
      <w:proofErr w:type="spellStart"/>
      <w:r>
        <w:rPr>
          <w:rFonts w:cs="Arial"/>
          <w:b w:val="0"/>
          <w:i w:val="0"/>
          <w:sz w:val="20"/>
        </w:rPr>
        <w:t>………………………</w:t>
      </w:r>
      <w:proofErr w:type="spellEnd"/>
      <w:r>
        <w:rPr>
          <w:rFonts w:cs="Arial"/>
          <w:b w:val="0"/>
          <w:i w:val="0"/>
          <w:sz w:val="20"/>
        </w:rPr>
        <w:t>..</w:t>
      </w:r>
    </w:p>
    <w:p w:rsidR="00457C6B" w:rsidRDefault="0047703E">
      <w:pPr>
        <w:pStyle w:val="BodyText21"/>
        <w:spacing w:before="120"/>
        <w:rPr>
          <w:rFonts w:cs="Arial"/>
          <w:b w:val="0"/>
          <w:i w:val="0"/>
          <w:sz w:val="20"/>
        </w:rPr>
      </w:pPr>
      <w:r>
        <w:rPr>
          <w:rFonts w:cs="Arial"/>
          <w:b w:val="0"/>
          <w:i w:val="0"/>
          <w:sz w:val="20"/>
        </w:rPr>
        <w:t xml:space="preserve">Tale previsione comporterà trasferimento delle risorse umane, finanziarie e strumentali in misura adeguata alle funzioni </w:t>
      </w:r>
      <w:proofErr w:type="spellStart"/>
      <w:r>
        <w:rPr>
          <w:rFonts w:cs="Arial"/>
          <w:b w:val="0"/>
          <w:i w:val="0"/>
          <w:sz w:val="20"/>
        </w:rPr>
        <w:t>esternalizzate</w:t>
      </w:r>
      <w:proofErr w:type="spellEnd"/>
      <w:r>
        <w:rPr>
          <w:rFonts w:cs="Arial"/>
          <w:b w:val="0"/>
          <w:i w:val="0"/>
          <w:sz w:val="20"/>
        </w:rPr>
        <w:t xml:space="preserve"> con conseguente riduzione della dotazione organica, come disposto dal comma 30 dell’art.3 della Legge 244/2007.</w:t>
      </w:r>
    </w:p>
    <w:p w:rsidR="00457C6B" w:rsidRDefault="00457C6B">
      <w:pPr>
        <w:pStyle w:val="BodyText21"/>
        <w:spacing w:before="120"/>
        <w:rPr>
          <w:rFonts w:cs="Arial"/>
          <w:b w:val="0"/>
          <w:i w:val="0"/>
          <w:sz w:val="20"/>
        </w:rPr>
      </w:pPr>
    </w:p>
    <w:p w:rsidR="00457C6B" w:rsidRDefault="0047703E">
      <w:pPr>
        <w:pStyle w:val="BodyText21"/>
        <w:spacing w:before="120"/>
        <w:rPr>
          <w:rFonts w:cs="Arial"/>
          <w:b w:val="0"/>
          <w:i w:val="0"/>
          <w:sz w:val="20"/>
        </w:rPr>
      </w:pPr>
      <w:r>
        <w:rPr>
          <w:rFonts w:cs="Arial"/>
          <w:b w:val="0"/>
          <w:i w:val="0"/>
          <w:sz w:val="20"/>
        </w:rPr>
        <w:t xml:space="preserve">L’onere a carico del bilancio del Comune per i servizi </w:t>
      </w:r>
      <w:proofErr w:type="spellStart"/>
      <w:r>
        <w:rPr>
          <w:rFonts w:cs="Arial"/>
          <w:b w:val="0"/>
          <w:i w:val="0"/>
          <w:sz w:val="20"/>
        </w:rPr>
        <w:t>esternalizzati</w:t>
      </w:r>
      <w:proofErr w:type="spellEnd"/>
      <w:r>
        <w:rPr>
          <w:rFonts w:cs="Arial"/>
          <w:b w:val="0"/>
          <w:i w:val="0"/>
          <w:sz w:val="20"/>
        </w:rPr>
        <w:t xml:space="preserve"> è così previsto nel bilancio 2015:</w:t>
      </w:r>
    </w:p>
    <w:p w:rsidR="00457C6B" w:rsidRDefault="0047703E">
      <w:pPr>
        <w:pStyle w:val="BodyText21"/>
        <w:spacing w:before="120"/>
        <w:rPr>
          <w:rFonts w:cs="Arial"/>
          <w:b w:val="0"/>
          <w:i w:val="0"/>
          <w:color w:val="0000FF"/>
          <w:sz w:val="20"/>
        </w:rPr>
      </w:pPr>
      <w:proofErr w:type="spellStart"/>
      <w:r>
        <w:rPr>
          <w:rFonts w:cs="Arial"/>
          <w:b w:val="0"/>
          <w:i w:val="0"/>
          <w:sz w:val="20"/>
        </w:rPr>
        <w:t>organismo……………………</w:t>
      </w:r>
      <w:proofErr w:type="spellEnd"/>
      <w:r>
        <w:rPr>
          <w:rFonts w:cs="Arial"/>
          <w:b w:val="0"/>
          <w:i w:val="0"/>
          <w:sz w:val="20"/>
        </w:rPr>
        <w:t xml:space="preserve">. </w:t>
      </w:r>
      <w:r>
        <w:rPr>
          <w:rFonts w:cs="Arial"/>
          <w:b w:val="0"/>
          <w:i w:val="0"/>
          <w:color w:val="0000FF"/>
          <w:sz w:val="20"/>
        </w:rPr>
        <w:t>(compilare una colonna per ogni servizio organismo)</w:t>
      </w:r>
    </w:p>
    <w:p w:rsidR="00AC22B5" w:rsidRDefault="00AC22B5">
      <w:pPr>
        <w:pStyle w:val="BodyText21"/>
        <w:spacing w:before="120"/>
        <w:rPr>
          <w:rFonts w:cs="Arial"/>
          <w:b w:val="0"/>
          <w:i w:val="0"/>
          <w:color w:val="0000FF"/>
          <w:sz w:val="20"/>
        </w:rPr>
      </w:pPr>
    </w:p>
    <w:bookmarkStart w:id="39" w:name="_MON_1483763660"/>
    <w:bookmarkEnd w:id="39"/>
    <w:p w:rsidR="00457C6B" w:rsidRDefault="007B3C1F">
      <w:pPr>
        <w:pStyle w:val="BodyText21"/>
        <w:spacing w:before="120"/>
        <w:rPr>
          <w:rFonts w:cs="Arial"/>
          <w:b w:val="0"/>
          <w:i w:val="0"/>
          <w:sz w:val="20"/>
        </w:rPr>
      </w:pPr>
      <w:r w:rsidRPr="00B771D5">
        <w:rPr>
          <w:rFonts w:cs="Arial"/>
          <w:b w:val="0"/>
          <w:i w:val="0"/>
          <w:color w:val="0000FF"/>
          <w:sz w:val="20"/>
        </w:rPr>
        <w:object w:dxaOrig="7639" w:dyaOrig="3125">
          <v:shape id="_x0000_i1053" type="#_x0000_t75" style="width:381.75pt;height:154.85pt" o:ole="">
            <v:imagedata r:id="rId76" o:title=""/>
          </v:shape>
          <o:OLEObject Type="Embed" ProgID="Excel.Sheet.8" ShapeID="_x0000_i1053" DrawAspect="Content" ObjectID="_1484374354" r:id="rId77"/>
        </w:object>
      </w:r>
    </w:p>
    <w:p w:rsidR="00457C6B" w:rsidRDefault="0047703E">
      <w:pPr>
        <w:pStyle w:val="BodyText21"/>
        <w:spacing w:before="120"/>
        <w:rPr>
          <w:rFonts w:cs="Arial"/>
          <w:b w:val="0"/>
          <w:i w:val="0"/>
          <w:sz w:val="20"/>
        </w:rPr>
      </w:pPr>
      <w:r>
        <w:rPr>
          <w:rFonts w:cs="Arial"/>
          <w:b w:val="0"/>
          <w:i w:val="0"/>
          <w:sz w:val="20"/>
        </w:rPr>
        <w:t xml:space="preserve">Nelle previsioni si è tenuto conto del divieto disposto dall’art.6, comma 19 del D.L. 78/2010, di apporti finanziari a favore di società partecipate che abbiano registrato per tre esercizi consecutivi perdite di esercizio o che abbiano utilizzato riserve disponibili per il ripiano di perdite anche </w:t>
      </w:r>
      <w:proofErr w:type="spellStart"/>
      <w:r>
        <w:rPr>
          <w:rFonts w:cs="Arial"/>
          <w:b w:val="0"/>
          <w:i w:val="0"/>
          <w:sz w:val="20"/>
        </w:rPr>
        <w:t>infrannuali</w:t>
      </w:r>
      <w:proofErr w:type="spellEnd"/>
      <w:r>
        <w:rPr>
          <w:rFonts w:cs="Arial"/>
          <w:b w:val="0"/>
          <w:i w:val="0"/>
          <w:sz w:val="20"/>
        </w:rPr>
        <w:t>.</w:t>
      </w:r>
    </w:p>
    <w:p w:rsidR="00457C6B" w:rsidRDefault="0047703E">
      <w:pPr>
        <w:pStyle w:val="BodyText21"/>
        <w:spacing w:before="120"/>
        <w:rPr>
          <w:rFonts w:cs="Arial"/>
          <w:b w:val="0"/>
          <w:i w:val="0"/>
          <w:sz w:val="20"/>
        </w:rPr>
      </w:pPr>
      <w:r>
        <w:rPr>
          <w:rFonts w:cs="Arial"/>
          <w:b w:val="0"/>
          <w:i w:val="0"/>
          <w:sz w:val="20"/>
        </w:rPr>
        <w:t xml:space="preserve">Le società che hanno registrato perdite per tre esercizi consecutivi o che hanno utilizzato riserve disponibili per il ripiano di perdite anche </w:t>
      </w:r>
      <w:proofErr w:type="spellStart"/>
      <w:r>
        <w:rPr>
          <w:rFonts w:cs="Arial"/>
          <w:b w:val="0"/>
          <w:i w:val="0"/>
          <w:sz w:val="20"/>
        </w:rPr>
        <w:t>infrannuali</w:t>
      </w:r>
      <w:proofErr w:type="spellEnd"/>
      <w:r>
        <w:rPr>
          <w:rFonts w:cs="Arial"/>
          <w:b w:val="0"/>
          <w:i w:val="0"/>
          <w:sz w:val="20"/>
        </w:rPr>
        <w:t xml:space="preserve"> sono le seguenti:</w:t>
      </w:r>
    </w:p>
    <w:p w:rsidR="00457C6B" w:rsidRDefault="0047703E">
      <w:pPr>
        <w:pStyle w:val="BodyText21"/>
        <w:spacing w:before="120"/>
        <w:rPr>
          <w:rFonts w:cs="Arial"/>
          <w:b w:val="0"/>
          <w:i w:val="0"/>
          <w:sz w:val="20"/>
        </w:rPr>
      </w:pPr>
      <w:r>
        <w:rPr>
          <w:rFonts w:cs="Arial"/>
          <w:b w:val="0"/>
          <w:i w:val="0"/>
          <w:sz w:val="20"/>
        </w:rPr>
        <w:t xml:space="preserve">società </w:t>
      </w:r>
      <w:proofErr w:type="spellStart"/>
      <w:r>
        <w:rPr>
          <w:rFonts w:cs="Arial"/>
          <w:b w:val="0"/>
          <w:i w:val="0"/>
          <w:sz w:val="20"/>
        </w:rPr>
        <w:t>…………………………………</w:t>
      </w:r>
      <w:proofErr w:type="spellEnd"/>
      <w:r>
        <w:rPr>
          <w:rFonts w:cs="Arial"/>
          <w:b w:val="0"/>
          <w:i w:val="0"/>
          <w:sz w:val="20"/>
        </w:rPr>
        <w:t xml:space="preserve">..società </w:t>
      </w:r>
      <w:proofErr w:type="spellStart"/>
      <w:r>
        <w:rPr>
          <w:rFonts w:cs="Arial"/>
          <w:b w:val="0"/>
          <w:i w:val="0"/>
          <w:sz w:val="20"/>
        </w:rPr>
        <w:t>…………………………………</w:t>
      </w:r>
      <w:proofErr w:type="spellEnd"/>
      <w:r>
        <w:rPr>
          <w:rFonts w:cs="Arial"/>
          <w:b w:val="0"/>
          <w:i w:val="0"/>
          <w:sz w:val="20"/>
        </w:rPr>
        <w:t>..</w:t>
      </w:r>
    </w:p>
    <w:p w:rsidR="00457C6B" w:rsidRDefault="0047703E">
      <w:pPr>
        <w:pStyle w:val="BodyText21"/>
        <w:spacing w:before="120"/>
        <w:rPr>
          <w:rFonts w:cs="Arial"/>
          <w:b w:val="0"/>
          <w:i w:val="0"/>
          <w:sz w:val="20"/>
        </w:rPr>
      </w:pPr>
      <w:r>
        <w:rPr>
          <w:rFonts w:cs="Arial"/>
          <w:b w:val="0"/>
          <w:i w:val="0"/>
          <w:sz w:val="20"/>
        </w:rPr>
        <w:t xml:space="preserve">Tutti gli organismi partecipati hanno approvato il bilancio d’esercizio al 31/12/2013 </w:t>
      </w:r>
      <w:r>
        <w:rPr>
          <w:rFonts w:cs="Arial"/>
          <w:b w:val="0"/>
          <w:i w:val="0"/>
          <w:color w:val="0000FF"/>
          <w:sz w:val="20"/>
        </w:rPr>
        <w:t>(indicare l’eventuale</w:t>
      </w:r>
      <w:r>
        <w:rPr>
          <w:rFonts w:cs="Arial"/>
          <w:color w:val="0070C0"/>
          <w:sz w:val="20"/>
        </w:rPr>
        <w:t xml:space="preserve"> </w:t>
      </w:r>
      <w:r>
        <w:rPr>
          <w:rFonts w:cs="Arial"/>
          <w:b w:val="0"/>
          <w:i w:val="0"/>
          <w:color w:val="0000FF"/>
          <w:sz w:val="20"/>
        </w:rPr>
        <w:t>diverso termine</w:t>
      </w:r>
      <w:r>
        <w:rPr>
          <w:rFonts w:cs="Arial"/>
          <w:b w:val="0"/>
          <w:sz w:val="20"/>
        </w:rPr>
        <w:t>)</w:t>
      </w:r>
      <w:r>
        <w:rPr>
          <w:rFonts w:cs="Arial"/>
          <w:b w:val="0"/>
          <w:i w:val="0"/>
          <w:sz w:val="20"/>
        </w:rPr>
        <w:t>, e tale documento è allegato al bilancio di previsione.</w:t>
      </w:r>
    </w:p>
    <w:p w:rsidR="00457C6B" w:rsidRDefault="0047703E">
      <w:pPr>
        <w:pStyle w:val="BodyText21"/>
        <w:spacing w:before="120"/>
        <w:rPr>
          <w:rFonts w:cs="Arial"/>
          <w:b w:val="0"/>
          <w:i w:val="0"/>
          <w:sz w:val="20"/>
        </w:rPr>
      </w:pPr>
      <w:r>
        <w:rPr>
          <w:rFonts w:cs="Arial"/>
          <w:b w:val="0"/>
          <w:i w:val="0"/>
          <w:sz w:val="20"/>
        </w:rPr>
        <w:t>I seguenti organismi partecipati nell’ultimo bilancio approvato presentano perdite che richiedono gli interventi di cui all’art. 2447 del codice civile:</w:t>
      </w:r>
      <w:proofErr w:type="spellStart"/>
      <w:r>
        <w:rPr>
          <w:rFonts w:cs="Arial"/>
          <w:b w:val="0"/>
          <w:i w:val="0"/>
          <w:sz w:val="20"/>
        </w:rPr>
        <w:t>………………………………………</w:t>
      </w:r>
      <w:proofErr w:type="spellEnd"/>
    </w:p>
    <w:p w:rsidR="00457C6B" w:rsidRDefault="0047703E">
      <w:pPr>
        <w:pStyle w:val="BodyText21"/>
        <w:spacing w:before="120"/>
        <w:rPr>
          <w:rFonts w:cs="Arial"/>
          <w:b w:val="0"/>
          <w:i w:val="0"/>
          <w:sz w:val="20"/>
        </w:rPr>
      </w:pPr>
      <w:r>
        <w:rPr>
          <w:rFonts w:cs="Arial"/>
          <w:b w:val="0"/>
          <w:i w:val="0"/>
          <w:sz w:val="20"/>
        </w:rPr>
        <w:t>La quota a carico del Comune per tali interventi è stata finanziata nel bilancio 2014.</w:t>
      </w:r>
    </w:p>
    <w:p w:rsidR="00457C6B" w:rsidRDefault="0047703E">
      <w:pPr>
        <w:pStyle w:val="BodyText21"/>
        <w:pBdr>
          <w:top w:val="outset" w:sz="6" w:space="1" w:color="auto"/>
          <w:left w:val="outset" w:sz="6" w:space="4" w:color="auto"/>
          <w:bottom w:val="inset" w:sz="6" w:space="1" w:color="auto"/>
          <w:right w:val="inset" w:sz="6" w:space="4" w:color="auto"/>
        </w:pBdr>
        <w:spacing w:before="120"/>
        <w:jc w:val="center"/>
        <w:rPr>
          <w:rFonts w:cs="Arial"/>
          <w:b w:val="0"/>
          <w:color w:val="0000FF"/>
          <w:sz w:val="20"/>
        </w:rPr>
      </w:pPr>
      <w:r>
        <w:rPr>
          <w:rFonts w:cs="Arial"/>
          <w:color w:val="0000FF"/>
          <w:sz w:val="20"/>
        </w:rPr>
        <w:t>Oppure</w:t>
      </w:r>
    </w:p>
    <w:p w:rsidR="00457C6B" w:rsidRDefault="0047703E">
      <w:pPr>
        <w:pStyle w:val="BodyText21"/>
        <w:pBdr>
          <w:top w:val="outset" w:sz="6" w:space="1" w:color="auto"/>
          <w:left w:val="outset" w:sz="6" w:space="4" w:color="auto"/>
          <w:bottom w:val="inset" w:sz="6" w:space="1" w:color="auto"/>
          <w:right w:val="inset" w:sz="6" w:space="4" w:color="auto"/>
        </w:pBdr>
        <w:spacing w:before="120"/>
        <w:rPr>
          <w:rFonts w:cs="Arial"/>
          <w:b w:val="0"/>
          <w:sz w:val="20"/>
        </w:rPr>
      </w:pPr>
      <w:r>
        <w:rPr>
          <w:rFonts w:cs="Arial"/>
          <w:b w:val="0"/>
          <w:i w:val="0"/>
          <w:sz w:val="20"/>
        </w:rPr>
        <w:t xml:space="preserve">è prevista nel bilancio 2015 </w:t>
      </w:r>
      <w:r>
        <w:rPr>
          <w:rFonts w:cs="Arial"/>
          <w:b w:val="0"/>
          <w:color w:val="0000FF"/>
          <w:sz w:val="16"/>
          <w:szCs w:val="16"/>
        </w:rPr>
        <w:t>(</w:t>
      </w:r>
      <w:r>
        <w:rPr>
          <w:rFonts w:cs="Arial"/>
          <w:color w:val="0000FF"/>
          <w:sz w:val="18"/>
        </w:rPr>
        <w:t>nel caso di mancato finanziamento o previsione indicare i motivi</w:t>
      </w:r>
      <w:r>
        <w:rPr>
          <w:rFonts w:cs="Arial"/>
          <w:b w:val="0"/>
          <w:color w:val="0000FF"/>
          <w:sz w:val="16"/>
          <w:szCs w:val="16"/>
        </w:rPr>
        <w:t>)</w:t>
      </w:r>
      <w:r>
        <w:rPr>
          <w:rFonts w:cs="Arial"/>
          <w:b w:val="0"/>
          <w:color w:val="0000FF"/>
          <w:sz w:val="20"/>
        </w:rPr>
        <w:t>.</w:t>
      </w:r>
    </w:p>
    <w:p w:rsidR="00457C6B" w:rsidRDefault="0047703E">
      <w:pPr>
        <w:pStyle w:val="BodyText21"/>
        <w:spacing w:before="120"/>
        <w:rPr>
          <w:rFonts w:cs="Arial"/>
          <w:b w:val="0"/>
          <w:i w:val="0"/>
          <w:sz w:val="22"/>
          <w:szCs w:val="22"/>
        </w:rPr>
      </w:pPr>
      <w:r>
        <w:rPr>
          <w:rFonts w:cs="Arial"/>
          <w:b w:val="0"/>
          <w:i w:val="0"/>
          <w:sz w:val="22"/>
          <w:szCs w:val="22"/>
        </w:rPr>
        <w:br w:type="page"/>
      </w:r>
      <w:r>
        <w:rPr>
          <w:rFonts w:cs="Arial"/>
          <w:b w:val="0"/>
          <w:i w:val="0"/>
          <w:sz w:val="22"/>
          <w:szCs w:val="22"/>
        </w:rPr>
        <w:lastRenderedPageBreak/>
        <w:t xml:space="preserve"> </w:t>
      </w:r>
    </w:p>
    <w:p w:rsidR="00457C6B" w:rsidRDefault="0047703E">
      <w:pPr>
        <w:pStyle w:val="BodyText21"/>
        <w:rPr>
          <w:rFonts w:cs="Arial"/>
          <w:b w:val="0"/>
          <w:i w:val="0"/>
          <w:sz w:val="22"/>
          <w:szCs w:val="22"/>
        </w:rPr>
      </w:pPr>
      <w:r>
        <w:rPr>
          <w:rFonts w:cs="Arial"/>
          <w:b w:val="0"/>
          <w:i w:val="0"/>
          <w:sz w:val="22"/>
          <w:szCs w:val="22"/>
        </w:rPr>
        <w:t>Dalla verifica della situazione economica degli organismi totalmente partecipati o controllati dall’ente risulta quanto segue:</w:t>
      </w:r>
    </w:p>
    <w:p w:rsidR="00457C6B" w:rsidRDefault="0047703E">
      <w:pPr>
        <w:pStyle w:val="BodyText21"/>
        <w:numPr>
          <w:ilvl w:val="0"/>
          <w:numId w:val="23"/>
        </w:numPr>
        <w:spacing w:before="120"/>
        <w:rPr>
          <w:rFonts w:cs="Arial"/>
          <w:b w:val="0"/>
          <w:i w:val="0"/>
          <w:sz w:val="22"/>
          <w:szCs w:val="22"/>
        </w:rPr>
      </w:pPr>
      <w:r>
        <w:rPr>
          <w:rFonts w:cs="Arial"/>
          <w:b w:val="0"/>
          <w:i w:val="0"/>
          <w:sz w:val="22"/>
          <w:szCs w:val="22"/>
        </w:rPr>
        <w:t>organismi che nel 2015 hanno previsto la distribuzione dei seguenti utili:</w:t>
      </w:r>
    </w:p>
    <w:p w:rsidR="00457C6B" w:rsidRDefault="0047703E">
      <w:pPr>
        <w:pStyle w:val="BodyText21"/>
        <w:numPr>
          <w:ilvl w:val="1"/>
          <w:numId w:val="23"/>
        </w:numPr>
        <w:spacing w:before="120"/>
        <w:rPr>
          <w:rFonts w:cs="Arial"/>
          <w:b w:val="0"/>
          <w:i w:val="0"/>
          <w:sz w:val="22"/>
          <w:szCs w:val="22"/>
        </w:rPr>
      </w:pP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numPr>
          <w:ilvl w:val="1"/>
          <w:numId w:val="23"/>
        </w:numPr>
        <w:spacing w:before="120"/>
        <w:rPr>
          <w:rFonts w:cs="Arial"/>
          <w:b w:val="0"/>
          <w:i w:val="0"/>
          <w:sz w:val="22"/>
          <w:szCs w:val="22"/>
        </w:rPr>
      </w:pP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numPr>
          <w:ilvl w:val="0"/>
          <w:numId w:val="23"/>
        </w:numPr>
        <w:spacing w:before="120"/>
        <w:rPr>
          <w:rFonts w:cs="Arial"/>
          <w:b w:val="0"/>
          <w:i w:val="0"/>
          <w:sz w:val="22"/>
          <w:szCs w:val="22"/>
        </w:rPr>
      </w:pPr>
      <w:r>
        <w:rPr>
          <w:rFonts w:cs="Arial"/>
          <w:b w:val="0"/>
          <w:i w:val="0"/>
          <w:sz w:val="22"/>
          <w:szCs w:val="22"/>
        </w:rPr>
        <w:t>organismi che sulla base dei dati del bilancio di esercizio 2014, richiederanno nell’anno 2015, i seguenti finanziamenti aggiuntivi da parte dell’ente per assicurare l’equilibrio economico:</w:t>
      </w:r>
    </w:p>
    <w:p w:rsidR="00457C6B" w:rsidRDefault="0047703E">
      <w:pPr>
        <w:pStyle w:val="BodyText21"/>
        <w:numPr>
          <w:ilvl w:val="1"/>
          <w:numId w:val="23"/>
        </w:numPr>
        <w:spacing w:before="120"/>
        <w:rPr>
          <w:rFonts w:cs="Arial"/>
          <w:b w:val="0"/>
          <w:i w:val="0"/>
          <w:sz w:val="22"/>
          <w:szCs w:val="22"/>
        </w:rPr>
      </w:pP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numPr>
          <w:ilvl w:val="1"/>
          <w:numId w:val="23"/>
        </w:numPr>
        <w:spacing w:before="120"/>
        <w:rPr>
          <w:rFonts w:cs="Arial"/>
          <w:b w:val="0"/>
          <w:i w:val="0"/>
          <w:sz w:val="22"/>
          <w:szCs w:val="22"/>
        </w:rPr>
      </w:pPr>
      <w:proofErr w:type="spellStart"/>
      <w:r>
        <w:rPr>
          <w:rFonts w:cs="Arial"/>
          <w:b w:val="0"/>
          <w:i w:val="0"/>
          <w:sz w:val="22"/>
          <w:szCs w:val="22"/>
        </w:rPr>
        <w:t>………………………………………</w:t>
      </w:r>
      <w:proofErr w:type="spellEnd"/>
      <w:r>
        <w:rPr>
          <w:rFonts w:cs="Arial"/>
          <w:b w:val="0"/>
          <w:i w:val="0"/>
          <w:sz w:val="22"/>
          <w:szCs w:val="22"/>
        </w:rPr>
        <w:t>.</w:t>
      </w:r>
    </w:p>
    <w:p w:rsidR="00457C6B" w:rsidRDefault="00457C6B">
      <w:pPr>
        <w:rPr>
          <w:rFonts w:ascii="Arial" w:hAnsi="Arial" w:cs="Arial"/>
          <w:sz w:val="20"/>
          <w:szCs w:val="20"/>
        </w:rPr>
      </w:pPr>
    </w:p>
    <w:p w:rsidR="00457C6B" w:rsidRDefault="0047703E">
      <w:pPr>
        <w:pStyle w:val="Sottotitolo"/>
        <w:jc w:val="left"/>
        <w:rPr>
          <w:rStyle w:val="provvrubrica"/>
          <w:rFonts w:ascii="Arial" w:hAnsi="Arial" w:cs="Arial"/>
          <w:b/>
          <w:i/>
          <w:iCs/>
          <w:color w:val="000000"/>
          <w:sz w:val="22"/>
          <w:szCs w:val="22"/>
        </w:rPr>
      </w:pPr>
      <w:r>
        <w:rPr>
          <w:rStyle w:val="provvrubrica"/>
          <w:rFonts w:ascii="Arial" w:hAnsi="Arial" w:cs="Arial"/>
          <w:b/>
          <w:i/>
          <w:iCs/>
          <w:color w:val="000000"/>
          <w:sz w:val="22"/>
          <w:szCs w:val="22"/>
        </w:rPr>
        <w:t>Finanziamento dei debiti degli enti locali nei confronti delle società partecipate</w:t>
      </w:r>
    </w:p>
    <w:p w:rsidR="00457C6B" w:rsidRDefault="0047703E">
      <w:pPr>
        <w:pStyle w:val="NormaleWeb"/>
        <w:rPr>
          <w:rFonts w:ascii="Arial" w:hAnsi="Arial" w:cs="Arial"/>
          <w:sz w:val="22"/>
          <w:szCs w:val="22"/>
        </w:rPr>
      </w:pPr>
      <w:r>
        <w:rPr>
          <w:rFonts w:ascii="Arial" w:hAnsi="Arial" w:cs="Arial"/>
          <w:sz w:val="22"/>
          <w:szCs w:val="22"/>
        </w:rPr>
        <w:t xml:space="preserve">L’ente, avvalendosi di quanto disposto dall’art. 31, comma 3 del D.l.24/472014 n.66 ha estinto i propri debiti al 31/12/2013, nei confronti delle </w:t>
      </w:r>
      <w:proofErr w:type="spellStart"/>
      <w:r>
        <w:rPr>
          <w:rFonts w:ascii="Arial" w:hAnsi="Arial" w:cs="Arial"/>
          <w:sz w:val="22"/>
          <w:szCs w:val="22"/>
        </w:rPr>
        <w:t>Societa'</w:t>
      </w:r>
      <w:proofErr w:type="spellEnd"/>
      <w:r>
        <w:rPr>
          <w:rFonts w:ascii="Arial" w:hAnsi="Arial" w:cs="Arial"/>
          <w:sz w:val="22"/>
          <w:szCs w:val="22"/>
        </w:rPr>
        <w:t xml:space="preserve"> partecipate per l’importo di euro </w:t>
      </w:r>
      <w:proofErr w:type="spellStart"/>
      <w:r>
        <w:rPr>
          <w:rFonts w:ascii="Arial" w:hAnsi="Arial" w:cs="Arial"/>
          <w:sz w:val="22"/>
          <w:szCs w:val="22"/>
        </w:rPr>
        <w:t>………….avvalendosi</w:t>
      </w:r>
      <w:proofErr w:type="spellEnd"/>
      <w:r>
        <w:rPr>
          <w:rFonts w:ascii="Arial" w:hAnsi="Arial" w:cs="Arial"/>
          <w:sz w:val="22"/>
          <w:szCs w:val="22"/>
        </w:rPr>
        <w:t xml:space="preserve"> della anticipazione di liquidità concessa ai sensi  del decreto direttoriale del 23 giugno 2014 al tasso di interesse dell’1,465%. </w:t>
      </w:r>
    </w:p>
    <w:p w:rsidR="00457C6B" w:rsidRDefault="0047703E">
      <w:pPr>
        <w:pStyle w:val="NormaleWeb"/>
        <w:rPr>
          <w:rFonts w:ascii="Arial" w:hAnsi="Arial" w:cs="Arial"/>
          <w:sz w:val="22"/>
          <w:szCs w:val="22"/>
        </w:rPr>
      </w:pPr>
      <w:r>
        <w:rPr>
          <w:rFonts w:ascii="Arial" w:hAnsi="Arial" w:cs="Arial"/>
          <w:sz w:val="22"/>
          <w:szCs w:val="22"/>
        </w:rPr>
        <w:t xml:space="preserve">L’anticipazione è stata concessa a seguito di dichiarazione attestante la verifica dei crediti e debiti reciproci nei confronti delle </w:t>
      </w:r>
      <w:proofErr w:type="spellStart"/>
      <w:r>
        <w:rPr>
          <w:rFonts w:ascii="Arial" w:hAnsi="Arial" w:cs="Arial"/>
          <w:sz w:val="22"/>
          <w:szCs w:val="22"/>
        </w:rPr>
        <w:t>Societa'</w:t>
      </w:r>
      <w:proofErr w:type="spellEnd"/>
      <w:r>
        <w:rPr>
          <w:rFonts w:ascii="Arial" w:hAnsi="Arial" w:cs="Arial"/>
          <w:sz w:val="22"/>
          <w:szCs w:val="22"/>
        </w:rPr>
        <w:t xml:space="preserve"> partecipate, asseverata dai rispettivi organi di revisione.</w:t>
      </w:r>
    </w:p>
    <w:p w:rsidR="00457C6B" w:rsidRDefault="0047703E">
      <w:pPr>
        <w:pStyle w:val="provvr0"/>
        <w:rPr>
          <w:rFonts w:ascii="Arial" w:hAnsi="Arial" w:cs="Arial"/>
          <w:sz w:val="22"/>
          <w:szCs w:val="22"/>
        </w:rPr>
      </w:pPr>
      <w:r>
        <w:rPr>
          <w:rFonts w:ascii="Arial" w:hAnsi="Arial" w:cs="Arial"/>
          <w:sz w:val="22"/>
          <w:szCs w:val="22"/>
        </w:rPr>
        <w:t>Le società partecipate  destinatarie dei pagamenti effettuati a valere sulle anticipazioni hanno comunicato all’ente gli avvenuti pagamenti, unitamente alle informazioni relative ai debiti ancora in essere, per la successiva trasmissione nell'ambito della certificazione di cui all'</w:t>
      </w:r>
      <w:r>
        <w:rPr>
          <w:rFonts w:ascii="Arial" w:hAnsi="Arial" w:cs="Arial"/>
          <w:iCs/>
          <w:sz w:val="22"/>
          <w:szCs w:val="22"/>
        </w:rPr>
        <w:t>articolo</w:t>
      </w:r>
      <w:r>
        <w:rPr>
          <w:rStyle w:val="apple-converted-space"/>
          <w:rFonts w:ascii="Arial" w:hAnsi="Arial" w:cs="Arial"/>
          <w:iCs/>
          <w:sz w:val="22"/>
          <w:szCs w:val="22"/>
        </w:rPr>
        <w:t> </w:t>
      </w:r>
      <w:hyperlink r:id="rId78" w:history="1">
        <w:r>
          <w:rPr>
            <w:rStyle w:val="Collegamentoipertestuale"/>
            <w:rFonts w:ascii="Arial" w:hAnsi="Arial" w:cs="Arial"/>
            <w:iCs/>
            <w:color w:val="auto"/>
            <w:sz w:val="22"/>
            <w:szCs w:val="22"/>
            <w:u w:val="none"/>
          </w:rPr>
          <w:t>1, comma 14</w:t>
        </w:r>
      </w:hyperlink>
      <w:r>
        <w:rPr>
          <w:rFonts w:ascii="Arial" w:hAnsi="Arial" w:cs="Arial"/>
          <w:iCs/>
          <w:sz w:val="22"/>
          <w:szCs w:val="22"/>
        </w:rPr>
        <w:t>, del citato</w:t>
      </w:r>
      <w:r>
        <w:rPr>
          <w:rStyle w:val="apple-converted-space"/>
          <w:rFonts w:ascii="Arial" w:hAnsi="Arial" w:cs="Arial"/>
          <w:iCs/>
          <w:sz w:val="22"/>
          <w:szCs w:val="22"/>
        </w:rPr>
        <w:t> </w:t>
      </w:r>
      <w:hyperlink r:id="rId79" w:history="1">
        <w:r>
          <w:rPr>
            <w:rStyle w:val="Collegamentoipertestuale"/>
            <w:rFonts w:ascii="Arial" w:hAnsi="Arial" w:cs="Arial"/>
            <w:iCs/>
            <w:color w:val="auto"/>
            <w:sz w:val="22"/>
            <w:szCs w:val="22"/>
            <w:u w:val="none"/>
          </w:rPr>
          <w:t>decreto legge n. 35 del 2013</w:t>
        </w:r>
      </w:hyperlink>
      <w:r>
        <w:rPr>
          <w:rFonts w:ascii="Arial" w:hAnsi="Arial" w:cs="Arial"/>
          <w:sz w:val="22"/>
          <w:szCs w:val="22"/>
        </w:rPr>
        <w:t>.</w:t>
      </w:r>
    </w:p>
    <w:p w:rsidR="00457C6B" w:rsidRDefault="0047703E">
      <w:pPr>
        <w:pStyle w:val="provvr0"/>
        <w:rPr>
          <w:rFonts w:ascii="Arial" w:hAnsi="Arial" w:cs="Arial"/>
          <w:b/>
          <w:color w:val="0000FF"/>
          <w:sz w:val="18"/>
          <w:szCs w:val="18"/>
        </w:rPr>
      </w:pPr>
      <w:r>
        <w:rPr>
          <w:rFonts w:ascii="Arial" w:hAnsi="Arial" w:cs="Arial"/>
          <w:b/>
          <w:color w:val="0000FF"/>
          <w:sz w:val="18"/>
          <w:szCs w:val="18"/>
        </w:rPr>
        <w:t>(I collegi sindacali delle società partecipate dagli enti locali dovranno verificare le comunicazioni di cui sopra, dandone atto nei propri verbali e nella relazione al bilancio di esercizio.)</w:t>
      </w:r>
    </w:p>
    <w:p w:rsidR="00457C6B" w:rsidRDefault="0047703E">
      <w:pPr>
        <w:pStyle w:val="Sottotitolo"/>
        <w:jc w:val="left"/>
        <w:rPr>
          <w:rFonts w:ascii="Arial" w:hAnsi="Arial" w:cs="Arial"/>
          <w:b/>
          <w:sz w:val="22"/>
          <w:szCs w:val="22"/>
        </w:rPr>
      </w:pPr>
      <w:r>
        <w:rPr>
          <w:rFonts w:ascii="Arial" w:hAnsi="Arial" w:cs="Arial"/>
          <w:b/>
          <w:sz w:val="22"/>
          <w:szCs w:val="22"/>
        </w:rPr>
        <w:t xml:space="preserve">Riduzione compensi </w:t>
      </w:r>
      <w:proofErr w:type="spellStart"/>
      <w:r>
        <w:rPr>
          <w:rFonts w:ascii="Arial" w:hAnsi="Arial" w:cs="Arial"/>
          <w:b/>
          <w:sz w:val="22"/>
          <w:szCs w:val="22"/>
        </w:rPr>
        <w:t>cda</w:t>
      </w:r>
      <w:proofErr w:type="spellEnd"/>
    </w:p>
    <w:p w:rsidR="00457C6B" w:rsidRDefault="0047703E">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Le seguenti società controllate direttamente o indirettamente dall’ente , avendo conseguito nell'anno 2011 un fatturato da prestazione di servizi a favore di amministrazioni pubbliche superiore al 90 per cento dell'intero fatturato, hanno applicato  dal 1°gennaio 2015, come disposto dall’art. 4 del D.L. 6/7/2012, n.95  la riduzione del costo annuale sostenuto per i compensi degli amministratori di tali società, ivi compresa la remunerazione di quelli investiti di particolari cariche, al limite dell'80 per cento del costo complessivamente sostenuto nell'anno 2013.</w:t>
      </w:r>
    </w:p>
    <w:p w:rsidR="00457C6B" w:rsidRDefault="0047703E">
      <w:pPr>
        <w:spacing w:before="100" w:beforeAutospacing="1" w:after="100" w:afterAutospacing="1"/>
        <w:jc w:val="both"/>
        <w:rPr>
          <w:rFonts w:ascii="Arial" w:hAnsi="Arial" w:cs="Arial"/>
          <w:color w:val="000000"/>
          <w:sz w:val="20"/>
          <w:szCs w:val="20"/>
        </w:rPr>
      </w:pPr>
      <w:proofErr w:type="spellStart"/>
      <w:r>
        <w:rPr>
          <w:rFonts w:ascii="Arial" w:hAnsi="Arial" w:cs="Arial"/>
          <w:color w:val="000000"/>
          <w:sz w:val="20"/>
          <w:szCs w:val="20"/>
        </w:rPr>
        <w:t>………………………………</w:t>
      </w:r>
      <w:proofErr w:type="spellEnd"/>
      <w:r>
        <w:rPr>
          <w:rFonts w:ascii="Arial" w:hAnsi="Arial" w:cs="Arial"/>
          <w:color w:val="000000"/>
          <w:sz w:val="20"/>
          <w:szCs w:val="20"/>
        </w:rPr>
        <w:t>.</w:t>
      </w:r>
    </w:p>
    <w:p w:rsidR="00457C6B" w:rsidRDefault="0047703E">
      <w:pPr>
        <w:spacing w:before="100" w:beforeAutospacing="1" w:after="100" w:afterAutospacing="1"/>
        <w:jc w:val="both"/>
        <w:rPr>
          <w:rFonts w:ascii="Arial" w:hAnsi="Arial" w:cs="Arial"/>
          <w:color w:val="0000FF"/>
          <w:sz w:val="20"/>
          <w:szCs w:val="20"/>
        </w:rPr>
      </w:pPr>
      <w:r>
        <w:rPr>
          <w:rFonts w:ascii="Arial" w:hAnsi="Arial" w:cs="Arial"/>
          <w:color w:val="0000FF"/>
          <w:sz w:val="20"/>
          <w:szCs w:val="20"/>
        </w:rPr>
        <w:t xml:space="preserve">(In virtù del principio di onnicomprensività della retribuzione, qualora siano nominati dipendenti dell'amministrazione titolare della partecipazione, o della società controllante in caso di partecipazione indiretta o del titolare di poteri di indirizzo e di vigilanza, fatto salvo il diritto alla copertura assicurativa e al rimborso delle spese documentate, nel rispetto del limite di spesa di cui al precedente periodo, essi hanno l'obbligo di riversare i relativi compensi all'amministrazione o alla società di appartenenza e, ove riassegnabili, in base alle vigenti disposizioni, al fondo per il finanziamento del trattamento economico accessorio). </w:t>
      </w:r>
    </w:p>
    <w:p w:rsidR="00457C6B" w:rsidRDefault="00457C6B">
      <w:pPr>
        <w:spacing w:before="100" w:beforeAutospacing="1" w:after="100" w:afterAutospacing="1"/>
        <w:jc w:val="both"/>
        <w:rPr>
          <w:rFonts w:ascii="Arial" w:hAnsi="Arial" w:cs="Arial"/>
          <w:color w:val="0000FF"/>
          <w:sz w:val="20"/>
          <w:szCs w:val="20"/>
        </w:rPr>
      </w:pPr>
    </w:p>
    <w:p w:rsidR="00457C6B" w:rsidRDefault="00457C6B">
      <w:pPr>
        <w:rPr>
          <w:rFonts w:ascii="Arial" w:hAnsi="Arial" w:cs="Arial"/>
          <w:sz w:val="20"/>
          <w:szCs w:val="20"/>
        </w:rPr>
      </w:pPr>
    </w:p>
    <w:p w:rsidR="00457C6B" w:rsidRDefault="0047703E">
      <w:pPr>
        <w:pStyle w:val="Sottotitolo"/>
        <w:jc w:val="left"/>
        <w:rPr>
          <w:rFonts w:ascii="Arial" w:hAnsi="Arial" w:cs="Arial"/>
          <w:b/>
          <w:sz w:val="22"/>
          <w:szCs w:val="22"/>
        </w:rPr>
      </w:pPr>
      <w:r>
        <w:rPr>
          <w:rFonts w:ascii="Arial" w:hAnsi="Arial" w:cs="Arial"/>
          <w:b/>
          <w:sz w:val="22"/>
          <w:szCs w:val="22"/>
        </w:rPr>
        <w:t>Accantonamento a copertura di perdite</w:t>
      </w:r>
    </w:p>
    <w:p w:rsidR="00457C6B" w:rsidRDefault="0047703E">
      <w:pPr>
        <w:rPr>
          <w:rFonts w:ascii="Arial" w:hAnsi="Arial" w:cs="Arial"/>
          <w:sz w:val="20"/>
          <w:szCs w:val="20"/>
        </w:rPr>
      </w:pPr>
      <w:r>
        <w:rPr>
          <w:rFonts w:ascii="Arial" w:hAnsi="Arial" w:cs="Arial"/>
          <w:sz w:val="20"/>
          <w:szCs w:val="20"/>
        </w:rPr>
        <w:t>(art. 1 commi da 550 a 562   della legge 147/2013)</w:t>
      </w:r>
    </w:p>
    <w:p w:rsidR="00457C6B" w:rsidRDefault="0047703E">
      <w:pPr>
        <w:rPr>
          <w:rFonts w:ascii="Arial" w:hAnsi="Arial" w:cs="Arial"/>
          <w:sz w:val="20"/>
          <w:szCs w:val="20"/>
        </w:rPr>
      </w:pPr>
      <w:r>
        <w:rPr>
          <w:rFonts w:ascii="Arial" w:hAnsi="Arial" w:cs="Arial"/>
          <w:sz w:val="20"/>
          <w:szCs w:val="20"/>
        </w:rPr>
        <w:t>Le seguenti Istituzioni, aziende speciali e società partecipate dall’ente hanno avuto i seguenti risultati di esercizio o finanziari negativi non immediatamente ripianati e dovranno provvedere ai sensi del comma 552 dell’art.1 della legge 147/2013 i seguenti importi:</w:t>
      </w:r>
    </w:p>
    <w:p w:rsidR="00457C6B" w:rsidRDefault="00457C6B">
      <w:pPr>
        <w:rPr>
          <w:rFonts w:ascii="Arial" w:hAnsi="Arial" w:cs="Arial"/>
          <w:sz w:val="20"/>
          <w:szCs w:val="20"/>
        </w:rPr>
      </w:pPr>
    </w:p>
    <w:p w:rsidR="00457C6B" w:rsidRDefault="0047703E">
      <w:pPr>
        <w:rPr>
          <w:rFonts w:ascii="Arial" w:hAnsi="Arial" w:cs="Arial"/>
          <w:sz w:val="20"/>
          <w:szCs w:val="20"/>
        </w:rPr>
      </w:pPr>
      <w:r>
        <w:rPr>
          <w:rFonts w:ascii="Arial" w:hAnsi="Arial" w:cs="Arial"/>
          <w:sz w:val="20"/>
          <w:szCs w:val="20"/>
        </w:rPr>
        <w:t>società di servizi pubblici a rete a rilevanza economica compresa gestione rifiuti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4"/>
        <w:gridCol w:w="1165"/>
        <w:gridCol w:w="2991"/>
        <w:gridCol w:w="2759"/>
      </w:tblGrid>
      <w:tr w:rsidR="00457C6B">
        <w:tc>
          <w:tcPr>
            <w:tcW w:w="2604" w:type="dxa"/>
          </w:tcPr>
          <w:p w:rsidR="00457C6B" w:rsidRDefault="0047703E">
            <w:pPr>
              <w:rPr>
                <w:rFonts w:ascii="Arial" w:hAnsi="Arial" w:cs="Arial"/>
                <w:sz w:val="20"/>
                <w:szCs w:val="20"/>
              </w:rPr>
            </w:pPr>
            <w:r>
              <w:rPr>
                <w:rFonts w:ascii="Arial" w:hAnsi="Arial" w:cs="Arial"/>
                <w:sz w:val="20"/>
                <w:szCs w:val="20"/>
              </w:rPr>
              <w:t>società</w:t>
            </w:r>
          </w:p>
        </w:tc>
        <w:tc>
          <w:tcPr>
            <w:tcW w:w="1165" w:type="dxa"/>
          </w:tcPr>
          <w:p w:rsidR="00457C6B" w:rsidRDefault="0047703E">
            <w:pPr>
              <w:rPr>
                <w:rFonts w:ascii="Arial" w:hAnsi="Arial" w:cs="Arial"/>
                <w:sz w:val="20"/>
                <w:szCs w:val="20"/>
              </w:rPr>
            </w:pPr>
            <w:r>
              <w:rPr>
                <w:rFonts w:ascii="Arial" w:hAnsi="Arial" w:cs="Arial"/>
                <w:sz w:val="20"/>
                <w:szCs w:val="20"/>
              </w:rPr>
              <w:t>esercizio</w:t>
            </w:r>
          </w:p>
        </w:tc>
        <w:tc>
          <w:tcPr>
            <w:tcW w:w="2991" w:type="dxa"/>
          </w:tcPr>
          <w:p w:rsidR="00457C6B" w:rsidRDefault="0047703E">
            <w:pPr>
              <w:rPr>
                <w:rFonts w:ascii="Arial" w:hAnsi="Arial" w:cs="Arial"/>
                <w:sz w:val="20"/>
                <w:szCs w:val="20"/>
              </w:rPr>
            </w:pPr>
            <w:r>
              <w:rPr>
                <w:rFonts w:ascii="Arial" w:hAnsi="Arial" w:cs="Arial"/>
                <w:sz w:val="20"/>
                <w:szCs w:val="20"/>
              </w:rPr>
              <w:t>Differenza fra valori e costi produzione</w:t>
            </w:r>
          </w:p>
        </w:tc>
        <w:tc>
          <w:tcPr>
            <w:tcW w:w="2759" w:type="dxa"/>
          </w:tcPr>
          <w:p w:rsidR="00457C6B" w:rsidRDefault="0047703E">
            <w:pPr>
              <w:rPr>
                <w:rFonts w:ascii="Arial" w:hAnsi="Arial" w:cs="Arial"/>
                <w:sz w:val="20"/>
                <w:szCs w:val="20"/>
              </w:rPr>
            </w:pPr>
            <w:r>
              <w:rPr>
                <w:rFonts w:ascii="Arial" w:hAnsi="Arial" w:cs="Arial"/>
                <w:sz w:val="20"/>
                <w:szCs w:val="20"/>
              </w:rPr>
              <w:t>Media 2011/2013</w:t>
            </w:r>
          </w:p>
        </w:tc>
      </w:tr>
      <w:tr w:rsidR="00457C6B">
        <w:tc>
          <w:tcPr>
            <w:tcW w:w="2604" w:type="dxa"/>
          </w:tcPr>
          <w:p w:rsidR="00457C6B" w:rsidRDefault="00457C6B">
            <w:pPr>
              <w:rPr>
                <w:rFonts w:ascii="Arial" w:hAnsi="Arial" w:cs="Arial"/>
                <w:sz w:val="20"/>
                <w:szCs w:val="20"/>
              </w:rPr>
            </w:pPr>
          </w:p>
        </w:tc>
        <w:tc>
          <w:tcPr>
            <w:tcW w:w="1165" w:type="dxa"/>
          </w:tcPr>
          <w:p w:rsidR="00457C6B" w:rsidRDefault="0047703E">
            <w:pPr>
              <w:rPr>
                <w:rFonts w:ascii="Arial" w:hAnsi="Arial" w:cs="Arial"/>
                <w:sz w:val="20"/>
                <w:szCs w:val="20"/>
              </w:rPr>
            </w:pPr>
            <w:r>
              <w:rPr>
                <w:rFonts w:ascii="Arial" w:hAnsi="Arial" w:cs="Arial"/>
                <w:sz w:val="20"/>
                <w:szCs w:val="20"/>
              </w:rPr>
              <w:t>2011</w:t>
            </w:r>
          </w:p>
        </w:tc>
        <w:tc>
          <w:tcPr>
            <w:tcW w:w="2991" w:type="dxa"/>
          </w:tcPr>
          <w:p w:rsidR="00457C6B" w:rsidRDefault="00457C6B">
            <w:pPr>
              <w:rPr>
                <w:rFonts w:ascii="Arial" w:hAnsi="Arial" w:cs="Arial"/>
                <w:sz w:val="20"/>
                <w:szCs w:val="20"/>
              </w:rPr>
            </w:pP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7703E">
            <w:pPr>
              <w:rPr>
                <w:rFonts w:ascii="Arial" w:hAnsi="Arial" w:cs="Arial"/>
                <w:sz w:val="20"/>
                <w:szCs w:val="20"/>
              </w:rPr>
            </w:pPr>
            <w:r>
              <w:rPr>
                <w:rFonts w:ascii="Arial" w:hAnsi="Arial" w:cs="Arial"/>
                <w:sz w:val="20"/>
                <w:szCs w:val="20"/>
              </w:rPr>
              <w:t>2012</w:t>
            </w:r>
          </w:p>
        </w:tc>
        <w:tc>
          <w:tcPr>
            <w:tcW w:w="2991" w:type="dxa"/>
          </w:tcPr>
          <w:p w:rsidR="00457C6B" w:rsidRDefault="00457C6B">
            <w:pPr>
              <w:rPr>
                <w:rFonts w:ascii="Arial" w:hAnsi="Arial" w:cs="Arial"/>
                <w:sz w:val="20"/>
                <w:szCs w:val="20"/>
              </w:rPr>
            </w:pP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7703E">
            <w:pPr>
              <w:rPr>
                <w:rFonts w:ascii="Arial" w:hAnsi="Arial" w:cs="Arial"/>
                <w:sz w:val="20"/>
                <w:szCs w:val="20"/>
              </w:rPr>
            </w:pPr>
            <w:r>
              <w:rPr>
                <w:rFonts w:ascii="Arial" w:hAnsi="Arial" w:cs="Arial"/>
                <w:sz w:val="20"/>
                <w:szCs w:val="20"/>
              </w:rPr>
              <w:t>2013</w:t>
            </w:r>
          </w:p>
        </w:tc>
        <w:tc>
          <w:tcPr>
            <w:tcW w:w="2991" w:type="dxa"/>
          </w:tcPr>
          <w:p w:rsidR="00457C6B" w:rsidRDefault="00457C6B">
            <w:pPr>
              <w:rPr>
                <w:rFonts w:ascii="Arial" w:hAnsi="Arial" w:cs="Arial"/>
                <w:sz w:val="20"/>
                <w:szCs w:val="20"/>
              </w:rPr>
            </w:pP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7703E">
            <w:pPr>
              <w:rPr>
                <w:rFonts w:ascii="Arial" w:hAnsi="Arial" w:cs="Arial"/>
                <w:sz w:val="20"/>
                <w:szCs w:val="20"/>
              </w:rPr>
            </w:pPr>
            <w:r>
              <w:rPr>
                <w:rFonts w:ascii="Arial" w:hAnsi="Arial" w:cs="Arial"/>
                <w:sz w:val="20"/>
                <w:szCs w:val="20"/>
              </w:rPr>
              <w:t>2014</w:t>
            </w:r>
          </w:p>
        </w:tc>
        <w:tc>
          <w:tcPr>
            <w:tcW w:w="2991" w:type="dxa"/>
          </w:tcPr>
          <w:p w:rsidR="00457C6B" w:rsidRDefault="00457C6B">
            <w:pPr>
              <w:rPr>
                <w:rFonts w:ascii="Arial" w:hAnsi="Arial" w:cs="Arial"/>
                <w:sz w:val="20"/>
                <w:szCs w:val="20"/>
              </w:rPr>
            </w:pP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57C6B">
            <w:pPr>
              <w:rPr>
                <w:rFonts w:ascii="Arial" w:hAnsi="Arial" w:cs="Arial"/>
                <w:sz w:val="20"/>
                <w:szCs w:val="20"/>
              </w:rPr>
            </w:pPr>
          </w:p>
        </w:tc>
        <w:tc>
          <w:tcPr>
            <w:tcW w:w="2991" w:type="dxa"/>
          </w:tcPr>
          <w:p w:rsidR="00457C6B" w:rsidRDefault="0047703E">
            <w:pPr>
              <w:rPr>
                <w:rFonts w:ascii="Arial" w:hAnsi="Arial" w:cs="Arial"/>
                <w:sz w:val="20"/>
                <w:szCs w:val="20"/>
              </w:rPr>
            </w:pPr>
            <w:r>
              <w:rPr>
                <w:rFonts w:ascii="Arial" w:hAnsi="Arial" w:cs="Arial"/>
                <w:sz w:val="20"/>
                <w:szCs w:val="20"/>
              </w:rPr>
              <w:t>Accantonamento 2015</w:t>
            </w: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57C6B">
            <w:pPr>
              <w:rPr>
                <w:rFonts w:ascii="Arial" w:hAnsi="Arial" w:cs="Arial"/>
                <w:sz w:val="20"/>
                <w:szCs w:val="20"/>
              </w:rPr>
            </w:pPr>
          </w:p>
        </w:tc>
        <w:tc>
          <w:tcPr>
            <w:tcW w:w="2991" w:type="dxa"/>
          </w:tcPr>
          <w:p w:rsidR="00457C6B" w:rsidRDefault="0047703E">
            <w:pPr>
              <w:rPr>
                <w:rFonts w:ascii="Arial" w:hAnsi="Arial" w:cs="Arial"/>
                <w:sz w:val="20"/>
                <w:szCs w:val="20"/>
              </w:rPr>
            </w:pPr>
            <w:r>
              <w:rPr>
                <w:rFonts w:ascii="Arial" w:hAnsi="Arial" w:cs="Arial"/>
                <w:sz w:val="20"/>
                <w:szCs w:val="20"/>
              </w:rPr>
              <w:t>Accantonamento 2016</w:t>
            </w:r>
          </w:p>
        </w:tc>
        <w:tc>
          <w:tcPr>
            <w:tcW w:w="2759" w:type="dxa"/>
          </w:tcPr>
          <w:p w:rsidR="00457C6B" w:rsidRDefault="00457C6B">
            <w:pPr>
              <w:rPr>
                <w:rFonts w:ascii="Arial" w:hAnsi="Arial" w:cs="Arial"/>
                <w:sz w:val="20"/>
                <w:szCs w:val="20"/>
              </w:rPr>
            </w:pPr>
          </w:p>
        </w:tc>
      </w:tr>
      <w:tr w:rsidR="00457C6B">
        <w:tc>
          <w:tcPr>
            <w:tcW w:w="2604" w:type="dxa"/>
          </w:tcPr>
          <w:p w:rsidR="00457C6B" w:rsidRDefault="00457C6B">
            <w:pPr>
              <w:rPr>
                <w:rFonts w:ascii="Arial" w:hAnsi="Arial" w:cs="Arial"/>
                <w:sz w:val="20"/>
                <w:szCs w:val="20"/>
              </w:rPr>
            </w:pPr>
          </w:p>
        </w:tc>
        <w:tc>
          <w:tcPr>
            <w:tcW w:w="1165" w:type="dxa"/>
          </w:tcPr>
          <w:p w:rsidR="00457C6B" w:rsidRDefault="00457C6B">
            <w:pPr>
              <w:rPr>
                <w:rFonts w:ascii="Arial" w:hAnsi="Arial" w:cs="Arial"/>
                <w:sz w:val="20"/>
                <w:szCs w:val="20"/>
              </w:rPr>
            </w:pPr>
          </w:p>
        </w:tc>
        <w:tc>
          <w:tcPr>
            <w:tcW w:w="2991" w:type="dxa"/>
          </w:tcPr>
          <w:p w:rsidR="00457C6B" w:rsidRDefault="0047703E">
            <w:pPr>
              <w:rPr>
                <w:rFonts w:ascii="Arial" w:hAnsi="Arial" w:cs="Arial"/>
                <w:sz w:val="20"/>
                <w:szCs w:val="20"/>
              </w:rPr>
            </w:pPr>
            <w:r>
              <w:rPr>
                <w:rFonts w:ascii="Arial" w:hAnsi="Arial" w:cs="Arial"/>
                <w:sz w:val="20"/>
                <w:szCs w:val="20"/>
              </w:rPr>
              <w:t>Accantonamento 2017</w:t>
            </w:r>
          </w:p>
        </w:tc>
        <w:tc>
          <w:tcPr>
            <w:tcW w:w="2759" w:type="dxa"/>
          </w:tcPr>
          <w:p w:rsidR="00457C6B" w:rsidRDefault="00457C6B">
            <w:pPr>
              <w:rPr>
                <w:rFonts w:ascii="Arial" w:hAnsi="Arial" w:cs="Arial"/>
                <w:sz w:val="20"/>
                <w:szCs w:val="20"/>
              </w:rPr>
            </w:pPr>
          </w:p>
        </w:tc>
      </w:tr>
    </w:tbl>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7703E">
      <w:pPr>
        <w:rPr>
          <w:rFonts w:ascii="Arial" w:hAnsi="Arial" w:cs="Arial"/>
          <w:sz w:val="20"/>
          <w:szCs w:val="20"/>
        </w:rPr>
      </w:pPr>
      <w:r>
        <w:rPr>
          <w:rFonts w:ascii="Arial" w:hAnsi="Arial" w:cs="Arial"/>
          <w:sz w:val="20"/>
          <w:szCs w:val="20"/>
        </w:rPr>
        <w:t>Società che redigono il bilancio consolidato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7"/>
        <w:gridCol w:w="1214"/>
        <w:gridCol w:w="2410"/>
        <w:gridCol w:w="2410"/>
      </w:tblGrid>
      <w:tr w:rsidR="00457C6B">
        <w:tc>
          <w:tcPr>
            <w:tcW w:w="3147" w:type="dxa"/>
          </w:tcPr>
          <w:p w:rsidR="00457C6B" w:rsidRDefault="0047703E">
            <w:pPr>
              <w:rPr>
                <w:rFonts w:ascii="Arial" w:hAnsi="Arial" w:cs="Arial"/>
                <w:sz w:val="20"/>
                <w:szCs w:val="20"/>
              </w:rPr>
            </w:pPr>
            <w:r>
              <w:rPr>
                <w:rFonts w:ascii="Arial" w:hAnsi="Arial" w:cs="Arial"/>
                <w:sz w:val="20"/>
                <w:szCs w:val="20"/>
              </w:rPr>
              <w:t>società</w:t>
            </w:r>
          </w:p>
        </w:tc>
        <w:tc>
          <w:tcPr>
            <w:tcW w:w="1214" w:type="dxa"/>
          </w:tcPr>
          <w:p w:rsidR="00457C6B" w:rsidRDefault="0047703E">
            <w:pPr>
              <w:rPr>
                <w:rFonts w:ascii="Arial" w:hAnsi="Arial" w:cs="Arial"/>
                <w:sz w:val="20"/>
                <w:szCs w:val="20"/>
              </w:rPr>
            </w:pPr>
            <w:r>
              <w:rPr>
                <w:rFonts w:ascii="Arial" w:hAnsi="Arial" w:cs="Arial"/>
                <w:sz w:val="20"/>
                <w:szCs w:val="20"/>
              </w:rPr>
              <w:t>esercizio</w:t>
            </w:r>
          </w:p>
        </w:tc>
        <w:tc>
          <w:tcPr>
            <w:tcW w:w="2410" w:type="dxa"/>
          </w:tcPr>
          <w:p w:rsidR="00457C6B" w:rsidRDefault="0047703E">
            <w:pPr>
              <w:rPr>
                <w:rFonts w:ascii="Arial" w:hAnsi="Arial" w:cs="Arial"/>
                <w:sz w:val="20"/>
                <w:szCs w:val="20"/>
              </w:rPr>
            </w:pPr>
            <w:r>
              <w:rPr>
                <w:rFonts w:ascii="Arial" w:hAnsi="Arial" w:cs="Arial"/>
                <w:sz w:val="20"/>
                <w:szCs w:val="20"/>
              </w:rPr>
              <w:t xml:space="preserve">perdita del bilancio consolidato non </w:t>
            </w:r>
            <w:proofErr w:type="spellStart"/>
            <w:r>
              <w:rPr>
                <w:rFonts w:ascii="Arial" w:hAnsi="Arial" w:cs="Arial"/>
                <w:sz w:val="20"/>
                <w:szCs w:val="20"/>
              </w:rPr>
              <w:t>immed</w:t>
            </w:r>
            <w:proofErr w:type="spellEnd"/>
            <w:r>
              <w:rPr>
                <w:rFonts w:ascii="Arial" w:hAnsi="Arial" w:cs="Arial"/>
                <w:sz w:val="20"/>
                <w:szCs w:val="20"/>
              </w:rPr>
              <w:t>. ripianato</w:t>
            </w:r>
          </w:p>
        </w:tc>
        <w:tc>
          <w:tcPr>
            <w:tcW w:w="2410" w:type="dxa"/>
          </w:tcPr>
          <w:p w:rsidR="00457C6B" w:rsidRDefault="0047703E">
            <w:pPr>
              <w:rPr>
                <w:rFonts w:ascii="Arial" w:hAnsi="Arial" w:cs="Arial"/>
                <w:sz w:val="20"/>
                <w:szCs w:val="20"/>
              </w:rPr>
            </w:pPr>
            <w:r>
              <w:rPr>
                <w:rFonts w:ascii="Arial" w:hAnsi="Arial" w:cs="Arial"/>
                <w:sz w:val="20"/>
                <w:szCs w:val="20"/>
              </w:rPr>
              <w:t>Media 2011/2013</w:t>
            </w: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2011</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2012</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2013</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2014</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2015</w:t>
            </w: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2016</w:t>
            </w: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2017</w:t>
            </w:r>
          </w:p>
        </w:tc>
        <w:tc>
          <w:tcPr>
            <w:tcW w:w="2410" w:type="dxa"/>
          </w:tcPr>
          <w:p w:rsidR="00457C6B" w:rsidRDefault="00457C6B">
            <w:pPr>
              <w:rPr>
                <w:rFonts w:ascii="Arial" w:hAnsi="Arial" w:cs="Arial"/>
                <w:sz w:val="20"/>
                <w:szCs w:val="20"/>
              </w:rPr>
            </w:pPr>
          </w:p>
        </w:tc>
      </w:tr>
    </w:tbl>
    <w:p w:rsidR="00457C6B" w:rsidRDefault="00457C6B">
      <w:pPr>
        <w:rPr>
          <w:rFonts w:ascii="Arial" w:hAnsi="Arial" w:cs="Arial"/>
          <w:sz w:val="20"/>
          <w:szCs w:val="20"/>
        </w:rPr>
      </w:pPr>
    </w:p>
    <w:p w:rsidR="00457C6B" w:rsidRDefault="0047703E">
      <w:pPr>
        <w:rPr>
          <w:rFonts w:ascii="Arial" w:hAnsi="Arial" w:cs="Arial"/>
          <w:sz w:val="20"/>
          <w:szCs w:val="20"/>
        </w:rPr>
      </w:pPr>
      <w:r>
        <w:rPr>
          <w:rFonts w:ascii="Arial" w:hAnsi="Arial" w:cs="Arial"/>
          <w:sz w:val="20"/>
          <w:szCs w:val="20"/>
        </w:rPr>
        <w:t>Altre società o organismi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7"/>
        <w:gridCol w:w="1214"/>
        <w:gridCol w:w="2410"/>
        <w:gridCol w:w="2410"/>
      </w:tblGrid>
      <w:tr w:rsidR="00457C6B">
        <w:tc>
          <w:tcPr>
            <w:tcW w:w="3147" w:type="dxa"/>
          </w:tcPr>
          <w:p w:rsidR="00457C6B" w:rsidRDefault="0047703E">
            <w:pPr>
              <w:rPr>
                <w:rFonts w:ascii="Arial" w:hAnsi="Arial" w:cs="Arial"/>
                <w:sz w:val="20"/>
                <w:szCs w:val="20"/>
              </w:rPr>
            </w:pPr>
            <w:r>
              <w:rPr>
                <w:rFonts w:ascii="Arial" w:hAnsi="Arial" w:cs="Arial"/>
                <w:sz w:val="20"/>
                <w:szCs w:val="20"/>
              </w:rPr>
              <w:t>Società organismo</w:t>
            </w:r>
          </w:p>
        </w:tc>
        <w:tc>
          <w:tcPr>
            <w:tcW w:w="1214" w:type="dxa"/>
          </w:tcPr>
          <w:p w:rsidR="00457C6B" w:rsidRDefault="0047703E">
            <w:pPr>
              <w:rPr>
                <w:rFonts w:ascii="Arial" w:hAnsi="Arial" w:cs="Arial"/>
                <w:sz w:val="20"/>
                <w:szCs w:val="20"/>
              </w:rPr>
            </w:pPr>
            <w:r>
              <w:rPr>
                <w:rFonts w:ascii="Arial" w:hAnsi="Arial" w:cs="Arial"/>
                <w:sz w:val="20"/>
                <w:szCs w:val="20"/>
              </w:rPr>
              <w:t>esercizio</w:t>
            </w:r>
          </w:p>
        </w:tc>
        <w:tc>
          <w:tcPr>
            <w:tcW w:w="2410" w:type="dxa"/>
          </w:tcPr>
          <w:p w:rsidR="00457C6B" w:rsidRDefault="0047703E">
            <w:pPr>
              <w:rPr>
                <w:rFonts w:ascii="Arial" w:hAnsi="Arial" w:cs="Arial"/>
                <w:sz w:val="20"/>
                <w:szCs w:val="20"/>
              </w:rPr>
            </w:pPr>
            <w:r>
              <w:rPr>
                <w:rFonts w:ascii="Arial" w:hAnsi="Arial" w:cs="Arial"/>
                <w:sz w:val="20"/>
                <w:szCs w:val="20"/>
              </w:rPr>
              <w:t xml:space="preserve">perdite del bilancio di esercizio non </w:t>
            </w:r>
            <w:proofErr w:type="spellStart"/>
            <w:r>
              <w:rPr>
                <w:rFonts w:ascii="Arial" w:hAnsi="Arial" w:cs="Arial"/>
                <w:sz w:val="20"/>
                <w:szCs w:val="20"/>
              </w:rPr>
              <w:t>immed</w:t>
            </w:r>
            <w:proofErr w:type="spellEnd"/>
            <w:r>
              <w:rPr>
                <w:rFonts w:ascii="Arial" w:hAnsi="Arial" w:cs="Arial"/>
                <w:sz w:val="20"/>
                <w:szCs w:val="20"/>
              </w:rPr>
              <w:t>. ripianata</w:t>
            </w:r>
          </w:p>
        </w:tc>
        <w:tc>
          <w:tcPr>
            <w:tcW w:w="2410" w:type="dxa"/>
          </w:tcPr>
          <w:p w:rsidR="00457C6B" w:rsidRDefault="0047703E">
            <w:pPr>
              <w:rPr>
                <w:rFonts w:ascii="Arial" w:hAnsi="Arial" w:cs="Arial"/>
                <w:sz w:val="20"/>
                <w:szCs w:val="20"/>
              </w:rPr>
            </w:pPr>
            <w:r>
              <w:rPr>
                <w:rFonts w:ascii="Arial" w:hAnsi="Arial" w:cs="Arial"/>
                <w:sz w:val="20"/>
                <w:szCs w:val="20"/>
              </w:rPr>
              <w:t>Media 2011/2013</w:t>
            </w: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2011</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2012</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2013</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7703E">
            <w:pPr>
              <w:rPr>
                <w:rFonts w:ascii="Arial" w:hAnsi="Arial" w:cs="Arial"/>
                <w:sz w:val="20"/>
                <w:szCs w:val="20"/>
              </w:rPr>
            </w:pPr>
            <w:r>
              <w:rPr>
                <w:rFonts w:ascii="Arial" w:hAnsi="Arial" w:cs="Arial"/>
                <w:sz w:val="20"/>
                <w:szCs w:val="20"/>
              </w:rPr>
              <w:t>2014</w:t>
            </w:r>
          </w:p>
        </w:tc>
        <w:tc>
          <w:tcPr>
            <w:tcW w:w="2410" w:type="dxa"/>
          </w:tcPr>
          <w:p w:rsidR="00457C6B" w:rsidRDefault="00457C6B">
            <w:pPr>
              <w:rPr>
                <w:rFonts w:ascii="Arial" w:hAnsi="Arial" w:cs="Arial"/>
                <w:sz w:val="20"/>
                <w:szCs w:val="20"/>
              </w:rPr>
            </w:pP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2015</w:t>
            </w: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2016</w:t>
            </w:r>
          </w:p>
        </w:tc>
        <w:tc>
          <w:tcPr>
            <w:tcW w:w="2410"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1214" w:type="dxa"/>
          </w:tcPr>
          <w:p w:rsidR="00457C6B" w:rsidRDefault="00457C6B">
            <w:pPr>
              <w:rPr>
                <w:rFonts w:ascii="Arial" w:hAnsi="Arial" w:cs="Arial"/>
                <w:sz w:val="20"/>
                <w:szCs w:val="20"/>
              </w:rPr>
            </w:pPr>
          </w:p>
        </w:tc>
        <w:tc>
          <w:tcPr>
            <w:tcW w:w="2410" w:type="dxa"/>
          </w:tcPr>
          <w:p w:rsidR="00457C6B" w:rsidRDefault="0047703E">
            <w:pPr>
              <w:rPr>
                <w:rFonts w:ascii="Arial" w:hAnsi="Arial" w:cs="Arial"/>
                <w:sz w:val="20"/>
                <w:szCs w:val="20"/>
              </w:rPr>
            </w:pPr>
            <w:r>
              <w:rPr>
                <w:rFonts w:ascii="Arial" w:hAnsi="Arial" w:cs="Arial"/>
                <w:sz w:val="20"/>
                <w:szCs w:val="20"/>
              </w:rPr>
              <w:t>Accantonamento 2017</w:t>
            </w:r>
          </w:p>
        </w:tc>
        <w:tc>
          <w:tcPr>
            <w:tcW w:w="2410" w:type="dxa"/>
          </w:tcPr>
          <w:p w:rsidR="00457C6B" w:rsidRDefault="00457C6B">
            <w:pPr>
              <w:rPr>
                <w:rFonts w:ascii="Arial" w:hAnsi="Arial" w:cs="Arial"/>
                <w:sz w:val="20"/>
                <w:szCs w:val="20"/>
              </w:rPr>
            </w:pPr>
          </w:p>
        </w:tc>
      </w:tr>
    </w:tbl>
    <w:p w:rsidR="00457C6B" w:rsidRDefault="00457C6B">
      <w:pPr>
        <w:rPr>
          <w:rFonts w:ascii="Arial" w:hAnsi="Arial" w:cs="Arial"/>
          <w:sz w:val="20"/>
          <w:szCs w:val="20"/>
        </w:rPr>
      </w:pPr>
    </w:p>
    <w:p w:rsidR="00457C6B" w:rsidRDefault="0047703E">
      <w:pPr>
        <w:rPr>
          <w:rFonts w:ascii="Arial" w:hAnsi="Arial" w:cs="Arial"/>
          <w:b/>
          <w:i/>
          <w:color w:val="0000FF"/>
          <w:sz w:val="18"/>
          <w:szCs w:val="18"/>
        </w:rPr>
      </w:pPr>
      <w:r>
        <w:rPr>
          <w:rFonts w:ascii="Arial" w:hAnsi="Arial" w:cs="Arial"/>
          <w:b/>
          <w:i/>
          <w:color w:val="0000FF"/>
          <w:sz w:val="18"/>
          <w:szCs w:val="18"/>
        </w:rPr>
        <w:t>Nel caso di risultato medio negativo nel triennio 2011-2013 occorre accantonare una somma pari alla differenza fra risultato negativo conseguito nell’esercizio 2014 (se migliore della media) ed il risultato medio 2011-2013 migliorato del:</w:t>
      </w:r>
    </w:p>
    <w:p w:rsidR="00457C6B" w:rsidRDefault="0047703E">
      <w:pPr>
        <w:rPr>
          <w:rFonts w:ascii="Arial" w:hAnsi="Arial" w:cs="Arial"/>
          <w:b/>
          <w:i/>
          <w:color w:val="0000FF"/>
          <w:sz w:val="18"/>
          <w:szCs w:val="18"/>
        </w:rPr>
      </w:pPr>
      <w:r>
        <w:rPr>
          <w:rFonts w:ascii="Arial" w:hAnsi="Arial" w:cs="Arial"/>
          <w:b/>
          <w:i/>
          <w:color w:val="0000FF"/>
          <w:sz w:val="18"/>
          <w:szCs w:val="18"/>
        </w:rPr>
        <w:t>25% per l’anno 2014</w:t>
      </w:r>
    </w:p>
    <w:p w:rsidR="00457C6B" w:rsidRDefault="0047703E">
      <w:pPr>
        <w:rPr>
          <w:rFonts w:ascii="Arial" w:hAnsi="Arial" w:cs="Arial"/>
          <w:b/>
          <w:i/>
          <w:color w:val="0000FF"/>
          <w:sz w:val="18"/>
          <w:szCs w:val="18"/>
        </w:rPr>
      </w:pPr>
      <w:r>
        <w:rPr>
          <w:rFonts w:ascii="Arial" w:hAnsi="Arial" w:cs="Arial"/>
          <w:b/>
          <w:i/>
          <w:color w:val="0000FF"/>
          <w:sz w:val="18"/>
          <w:szCs w:val="18"/>
        </w:rPr>
        <w:t>50% per l’anno 2015</w:t>
      </w:r>
    </w:p>
    <w:p w:rsidR="00457C6B" w:rsidRDefault="0047703E">
      <w:pPr>
        <w:rPr>
          <w:rFonts w:ascii="Arial" w:hAnsi="Arial" w:cs="Arial"/>
          <w:b/>
          <w:i/>
          <w:color w:val="0000FF"/>
          <w:sz w:val="18"/>
          <w:szCs w:val="18"/>
        </w:rPr>
      </w:pPr>
      <w:r>
        <w:rPr>
          <w:rFonts w:ascii="Arial" w:hAnsi="Arial" w:cs="Arial"/>
          <w:b/>
          <w:i/>
          <w:color w:val="0000FF"/>
          <w:sz w:val="18"/>
          <w:szCs w:val="18"/>
        </w:rPr>
        <w:t>75% per l’anno 2016</w:t>
      </w:r>
    </w:p>
    <w:p w:rsidR="00457C6B" w:rsidRDefault="0047703E">
      <w:pPr>
        <w:rPr>
          <w:rFonts w:ascii="Arial" w:hAnsi="Arial" w:cs="Arial"/>
          <w:b/>
          <w:i/>
          <w:color w:val="0000FF"/>
          <w:sz w:val="18"/>
          <w:szCs w:val="18"/>
        </w:rPr>
      </w:pPr>
      <w:r>
        <w:rPr>
          <w:rFonts w:ascii="Arial" w:hAnsi="Arial" w:cs="Arial"/>
          <w:b/>
          <w:i/>
          <w:color w:val="0000FF"/>
          <w:sz w:val="18"/>
          <w:szCs w:val="18"/>
        </w:rPr>
        <w:t>(esempio:</w:t>
      </w:r>
    </w:p>
    <w:p w:rsidR="00457C6B" w:rsidRDefault="0047703E">
      <w:pPr>
        <w:rPr>
          <w:rFonts w:ascii="Arial" w:hAnsi="Arial" w:cs="Arial"/>
          <w:b/>
          <w:i/>
          <w:color w:val="0000FF"/>
          <w:sz w:val="18"/>
          <w:szCs w:val="18"/>
        </w:rPr>
      </w:pPr>
      <w:r>
        <w:rPr>
          <w:rFonts w:ascii="Arial" w:hAnsi="Arial" w:cs="Arial"/>
          <w:b/>
          <w:i/>
          <w:color w:val="0000FF"/>
          <w:sz w:val="18"/>
          <w:szCs w:val="18"/>
        </w:rPr>
        <w:t>media perdita triennio 2011/2013</w:t>
      </w:r>
      <w:r>
        <w:rPr>
          <w:rFonts w:ascii="Arial" w:hAnsi="Arial" w:cs="Arial"/>
          <w:b/>
          <w:i/>
          <w:color w:val="0000FF"/>
          <w:sz w:val="18"/>
          <w:szCs w:val="18"/>
        </w:rPr>
        <w:tab/>
        <w:t>300</w:t>
      </w:r>
    </w:p>
    <w:p w:rsidR="00457C6B" w:rsidRDefault="0047703E">
      <w:pPr>
        <w:rPr>
          <w:rFonts w:ascii="Arial" w:hAnsi="Arial" w:cs="Arial"/>
          <w:b/>
          <w:i/>
          <w:color w:val="0000FF"/>
          <w:sz w:val="18"/>
          <w:szCs w:val="18"/>
        </w:rPr>
      </w:pPr>
      <w:r>
        <w:rPr>
          <w:rFonts w:ascii="Arial" w:hAnsi="Arial" w:cs="Arial"/>
          <w:b/>
          <w:i/>
          <w:color w:val="0000FF"/>
          <w:sz w:val="18"/>
          <w:szCs w:val="18"/>
        </w:rPr>
        <w:t>perdita 2014= 100</w:t>
      </w:r>
    </w:p>
    <w:p w:rsidR="00457C6B" w:rsidRDefault="0047703E">
      <w:pPr>
        <w:rPr>
          <w:rFonts w:ascii="Arial" w:hAnsi="Arial" w:cs="Arial"/>
          <w:b/>
          <w:i/>
          <w:color w:val="0000FF"/>
          <w:sz w:val="18"/>
          <w:szCs w:val="18"/>
        </w:rPr>
      </w:pPr>
      <w:r>
        <w:rPr>
          <w:rFonts w:ascii="Arial" w:hAnsi="Arial" w:cs="Arial"/>
          <w:b/>
          <w:i/>
          <w:color w:val="0000FF"/>
          <w:sz w:val="18"/>
          <w:szCs w:val="18"/>
        </w:rPr>
        <w:t>accantonamento 2015 = 0 (100 perdita-225, ovvero 300-75)</w:t>
      </w:r>
    </w:p>
    <w:p w:rsidR="00457C6B" w:rsidRDefault="00457C6B">
      <w:pPr>
        <w:rPr>
          <w:rFonts w:ascii="Arial" w:hAnsi="Arial" w:cs="Arial"/>
          <w:b/>
          <w:i/>
          <w:color w:val="0000FF"/>
          <w:sz w:val="18"/>
          <w:szCs w:val="18"/>
        </w:rPr>
      </w:pPr>
    </w:p>
    <w:p w:rsidR="00457C6B" w:rsidRDefault="0047703E">
      <w:pPr>
        <w:rPr>
          <w:rFonts w:ascii="Arial" w:hAnsi="Arial" w:cs="Arial"/>
          <w:b/>
          <w:i/>
          <w:color w:val="0000FF"/>
          <w:sz w:val="18"/>
          <w:szCs w:val="18"/>
        </w:rPr>
      </w:pPr>
      <w:r>
        <w:rPr>
          <w:rFonts w:ascii="Arial" w:hAnsi="Arial" w:cs="Arial"/>
          <w:b/>
          <w:i/>
          <w:color w:val="0000FF"/>
          <w:sz w:val="18"/>
          <w:szCs w:val="18"/>
        </w:rPr>
        <w:t>Qualora il risultato negativo sia peggiore della media negativa del triennio 2011/2013, occorre accantonare una somma proporzionale alla quota di partecipazione del risultato negativo conseguito nell’esercizio precedente con la seguente gradualità:</w:t>
      </w:r>
    </w:p>
    <w:p w:rsidR="00457C6B" w:rsidRDefault="0047703E">
      <w:pPr>
        <w:rPr>
          <w:rFonts w:ascii="Arial" w:hAnsi="Arial" w:cs="Arial"/>
          <w:b/>
          <w:i/>
          <w:color w:val="0000FF"/>
          <w:sz w:val="18"/>
          <w:szCs w:val="18"/>
        </w:rPr>
      </w:pPr>
      <w:r>
        <w:rPr>
          <w:rFonts w:ascii="Arial" w:hAnsi="Arial" w:cs="Arial"/>
          <w:b/>
          <w:i/>
          <w:color w:val="0000FF"/>
          <w:sz w:val="18"/>
          <w:szCs w:val="18"/>
        </w:rPr>
        <w:t>25% per l’anno 2014</w:t>
      </w:r>
    </w:p>
    <w:p w:rsidR="00457C6B" w:rsidRDefault="0047703E">
      <w:pPr>
        <w:rPr>
          <w:rFonts w:ascii="Arial" w:hAnsi="Arial" w:cs="Arial"/>
          <w:b/>
          <w:i/>
          <w:color w:val="0000FF"/>
          <w:sz w:val="18"/>
          <w:szCs w:val="18"/>
        </w:rPr>
      </w:pPr>
      <w:r>
        <w:rPr>
          <w:rFonts w:ascii="Arial" w:hAnsi="Arial" w:cs="Arial"/>
          <w:b/>
          <w:i/>
          <w:color w:val="0000FF"/>
          <w:sz w:val="18"/>
          <w:szCs w:val="18"/>
        </w:rPr>
        <w:t>50% per l’anno 2015</w:t>
      </w:r>
    </w:p>
    <w:p w:rsidR="00457C6B" w:rsidRDefault="0047703E">
      <w:pPr>
        <w:rPr>
          <w:rFonts w:ascii="Arial" w:hAnsi="Arial" w:cs="Arial"/>
          <w:b/>
          <w:i/>
          <w:color w:val="0000FF"/>
          <w:sz w:val="18"/>
          <w:szCs w:val="18"/>
        </w:rPr>
      </w:pPr>
      <w:r>
        <w:rPr>
          <w:rFonts w:ascii="Arial" w:hAnsi="Arial" w:cs="Arial"/>
          <w:b/>
          <w:i/>
          <w:color w:val="0000FF"/>
          <w:sz w:val="18"/>
          <w:szCs w:val="18"/>
        </w:rPr>
        <w:t>75% per l’anno 2016</w:t>
      </w:r>
    </w:p>
    <w:p w:rsidR="00457C6B" w:rsidRDefault="0047703E">
      <w:pPr>
        <w:rPr>
          <w:rFonts w:ascii="Arial" w:hAnsi="Arial" w:cs="Arial"/>
          <w:b/>
          <w:i/>
          <w:color w:val="0000FF"/>
          <w:sz w:val="18"/>
          <w:szCs w:val="18"/>
        </w:rPr>
      </w:pPr>
      <w:r>
        <w:rPr>
          <w:rFonts w:ascii="Arial" w:hAnsi="Arial" w:cs="Arial"/>
          <w:b/>
          <w:i/>
          <w:color w:val="0000FF"/>
          <w:sz w:val="18"/>
          <w:szCs w:val="18"/>
        </w:rPr>
        <w:t>(esempio:</w:t>
      </w:r>
    </w:p>
    <w:p w:rsidR="00457C6B" w:rsidRDefault="0047703E">
      <w:pPr>
        <w:rPr>
          <w:rFonts w:ascii="Arial" w:hAnsi="Arial" w:cs="Arial"/>
          <w:b/>
          <w:i/>
          <w:color w:val="0000FF"/>
          <w:sz w:val="18"/>
          <w:szCs w:val="18"/>
        </w:rPr>
      </w:pPr>
      <w:r>
        <w:rPr>
          <w:rFonts w:ascii="Arial" w:hAnsi="Arial" w:cs="Arial"/>
          <w:b/>
          <w:i/>
          <w:color w:val="0000FF"/>
          <w:sz w:val="18"/>
          <w:szCs w:val="18"/>
        </w:rPr>
        <w:t>media perdita triennio 2011/2013</w:t>
      </w:r>
      <w:r>
        <w:rPr>
          <w:rFonts w:ascii="Arial" w:hAnsi="Arial" w:cs="Arial"/>
          <w:b/>
          <w:i/>
          <w:color w:val="0000FF"/>
          <w:sz w:val="18"/>
          <w:szCs w:val="18"/>
        </w:rPr>
        <w:tab/>
        <w:t>50</w:t>
      </w:r>
    </w:p>
    <w:p w:rsidR="00457C6B" w:rsidRDefault="0047703E">
      <w:pPr>
        <w:rPr>
          <w:rFonts w:ascii="Arial" w:hAnsi="Arial" w:cs="Arial"/>
          <w:b/>
          <w:i/>
          <w:color w:val="0000FF"/>
          <w:sz w:val="18"/>
          <w:szCs w:val="18"/>
        </w:rPr>
      </w:pPr>
      <w:r>
        <w:rPr>
          <w:rFonts w:ascii="Arial" w:hAnsi="Arial" w:cs="Arial"/>
          <w:b/>
          <w:i/>
          <w:color w:val="0000FF"/>
          <w:sz w:val="18"/>
          <w:szCs w:val="18"/>
        </w:rPr>
        <w:lastRenderedPageBreak/>
        <w:t>perdita 2014 =100</w:t>
      </w:r>
    </w:p>
    <w:p w:rsidR="00457C6B" w:rsidRDefault="0047703E">
      <w:pPr>
        <w:rPr>
          <w:rFonts w:ascii="Arial" w:hAnsi="Arial" w:cs="Arial"/>
          <w:b/>
          <w:i/>
          <w:color w:val="0000FF"/>
          <w:sz w:val="18"/>
          <w:szCs w:val="18"/>
        </w:rPr>
      </w:pPr>
      <w:r>
        <w:rPr>
          <w:rFonts w:ascii="Arial" w:hAnsi="Arial" w:cs="Arial"/>
          <w:b/>
          <w:i/>
          <w:color w:val="0000FF"/>
          <w:sz w:val="18"/>
          <w:szCs w:val="18"/>
        </w:rPr>
        <w:t>accantonamento anno 2015 =25 (25% di 100)</w:t>
      </w:r>
    </w:p>
    <w:p w:rsidR="00457C6B" w:rsidRDefault="00457C6B">
      <w:pPr>
        <w:rPr>
          <w:rFonts w:ascii="Arial" w:hAnsi="Arial" w:cs="Arial"/>
          <w:color w:val="0000FF"/>
          <w:sz w:val="20"/>
          <w:szCs w:val="20"/>
        </w:rPr>
      </w:pPr>
    </w:p>
    <w:p w:rsidR="00457C6B" w:rsidRDefault="0047703E">
      <w:pPr>
        <w:rPr>
          <w:rFonts w:ascii="Arial" w:hAnsi="Arial" w:cs="Arial"/>
          <w:sz w:val="22"/>
          <w:szCs w:val="22"/>
        </w:rPr>
      </w:pPr>
      <w:r>
        <w:rPr>
          <w:rFonts w:ascii="Arial" w:hAnsi="Arial" w:cs="Arial"/>
          <w:sz w:val="22"/>
          <w:szCs w:val="22"/>
        </w:rPr>
        <w:t>Le seguenti Istituzioni, aziende speciali e società partecipate dall’ente per avendo avuto una media positiva nei risultati di esercizio o finanziari nel periodo 2011 /2013, hanno avuto una perdita non ripianata nell’ esercizio 2014 e l’accantonamento previsto in bilancio è il seguente:</w:t>
      </w:r>
    </w:p>
    <w:p w:rsidR="00457C6B" w:rsidRDefault="00457C6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7"/>
        <w:gridCol w:w="3148"/>
        <w:gridCol w:w="2993"/>
      </w:tblGrid>
      <w:tr w:rsidR="00457C6B">
        <w:tc>
          <w:tcPr>
            <w:tcW w:w="3147" w:type="dxa"/>
          </w:tcPr>
          <w:p w:rsidR="00457C6B" w:rsidRDefault="0047703E">
            <w:pPr>
              <w:rPr>
                <w:rFonts w:ascii="Arial" w:hAnsi="Arial" w:cs="Arial"/>
                <w:sz w:val="20"/>
                <w:szCs w:val="20"/>
              </w:rPr>
            </w:pPr>
            <w:r>
              <w:rPr>
                <w:rFonts w:ascii="Arial" w:hAnsi="Arial" w:cs="Arial"/>
                <w:sz w:val="20"/>
                <w:szCs w:val="20"/>
              </w:rPr>
              <w:t>organismo</w:t>
            </w:r>
          </w:p>
        </w:tc>
        <w:tc>
          <w:tcPr>
            <w:tcW w:w="3148" w:type="dxa"/>
          </w:tcPr>
          <w:p w:rsidR="00457C6B" w:rsidRDefault="0047703E">
            <w:pPr>
              <w:rPr>
                <w:rFonts w:ascii="Arial" w:hAnsi="Arial" w:cs="Arial"/>
                <w:sz w:val="20"/>
                <w:szCs w:val="20"/>
              </w:rPr>
            </w:pPr>
            <w:r>
              <w:rPr>
                <w:rFonts w:ascii="Arial" w:hAnsi="Arial" w:cs="Arial"/>
                <w:sz w:val="20"/>
                <w:szCs w:val="20"/>
              </w:rPr>
              <w:t>Perdita non ripianata 2014</w:t>
            </w:r>
          </w:p>
        </w:tc>
        <w:tc>
          <w:tcPr>
            <w:tcW w:w="2993" w:type="dxa"/>
          </w:tcPr>
          <w:p w:rsidR="00457C6B" w:rsidRDefault="0047703E">
            <w:pPr>
              <w:rPr>
                <w:rFonts w:ascii="Arial" w:hAnsi="Arial" w:cs="Arial"/>
                <w:sz w:val="20"/>
                <w:szCs w:val="20"/>
              </w:rPr>
            </w:pPr>
            <w:r>
              <w:rPr>
                <w:rFonts w:ascii="Arial" w:hAnsi="Arial" w:cs="Arial"/>
                <w:sz w:val="20"/>
                <w:szCs w:val="20"/>
              </w:rPr>
              <w:t>Accantonamento bilancio 2015</w:t>
            </w:r>
          </w:p>
        </w:tc>
      </w:tr>
      <w:tr w:rsidR="00457C6B">
        <w:tc>
          <w:tcPr>
            <w:tcW w:w="3147" w:type="dxa"/>
          </w:tcPr>
          <w:p w:rsidR="00457C6B" w:rsidRDefault="00457C6B">
            <w:pPr>
              <w:rPr>
                <w:rFonts w:ascii="Arial" w:hAnsi="Arial" w:cs="Arial"/>
                <w:sz w:val="20"/>
                <w:szCs w:val="20"/>
              </w:rPr>
            </w:pPr>
          </w:p>
        </w:tc>
        <w:tc>
          <w:tcPr>
            <w:tcW w:w="3148" w:type="dxa"/>
          </w:tcPr>
          <w:p w:rsidR="00457C6B" w:rsidRDefault="00457C6B">
            <w:pPr>
              <w:rPr>
                <w:rFonts w:ascii="Arial" w:hAnsi="Arial" w:cs="Arial"/>
                <w:sz w:val="20"/>
                <w:szCs w:val="20"/>
              </w:rPr>
            </w:pPr>
          </w:p>
        </w:tc>
        <w:tc>
          <w:tcPr>
            <w:tcW w:w="2993" w:type="dxa"/>
          </w:tcPr>
          <w:p w:rsidR="00457C6B" w:rsidRDefault="00457C6B">
            <w:pPr>
              <w:rPr>
                <w:rFonts w:ascii="Arial" w:hAnsi="Arial" w:cs="Arial"/>
                <w:sz w:val="20"/>
                <w:szCs w:val="20"/>
              </w:rPr>
            </w:pPr>
          </w:p>
        </w:tc>
      </w:tr>
      <w:tr w:rsidR="00457C6B">
        <w:tc>
          <w:tcPr>
            <w:tcW w:w="3147" w:type="dxa"/>
          </w:tcPr>
          <w:p w:rsidR="00457C6B" w:rsidRDefault="00457C6B">
            <w:pPr>
              <w:rPr>
                <w:rFonts w:ascii="Arial" w:hAnsi="Arial" w:cs="Arial"/>
                <w:sz w:val="20"/>
                <w:szCs w:val="20"/>
              </w:rPr>
            </w:pPr>
          </w:p>
        </w:tc>
        <w:tc>
          <w:tcPr>
            <w:tcW w:w="3148" w:type="dxa"/>
          </w:tcPr>
          <w:p w:rsidR="00457C6B" w:rsidRDefault="00457C6B">
            <w:pPr>
              <w:rPr>
                <w:rFonts w:ascii="Arial" w:hAnsi="Arial" w:cs="Arial"/>
                <w:sz w:val="20"/>
                <w:szCs w:val="20"/>
              </w:rPr>
            </w:pPr>
          </w:p>
        </w:tc>
        <w:tc>
          <w:tcPr>
            <w:tcW w:w="2993" w:type="dxa"/>
          </w:tcPr>
          <w:p w:rsidR="00457C6B" w:rsidRDefault="00457C6B">
            <w:pPr>
              <w:rPr>
                <w:rFonts w:ascii="Arial" w:hAnsi="Arial" w:cs="Arial"/>
                <w:sz w:val="20"/>
                <w:szCs w:val="20"/>
              </w:rPr>
            </w:pPr>
          </w:p>
        </w:tc>
      </w:tr>
    </w:tbl>
    <w:p w:rsidR="00457C6B" w:rsidRDefault="00457C6B">
      <w:pPr>
        <w:rPr>
          <w:rFonts w:ascii="Arial" w:hAnsi="Arial" w:cs="Arial"/>
          <w:color w:val="0000FF"/>
          <w:sz w:val="20"/>
          <w:szCs w:val="20"/>
        </w:rPr>
      </w:pPr>
    </w:p>
    <w:p w:rsidR="00457C6B" w:rsidRDefault="00457C6B">
      <w:pPr>
        <w:rPr>
          <w:rFonts w:ascii="Arial" w:hAnsi="Arial" w:cs="Arial"/>
          <w:color w:val="0000FF"/>
          <w:sz w:val="20"/>
          <w:szCs w:val="20"/>
        </w:rPr>
      </w:pPr>
    </w:p>
    <w:p w:rsidR="00457C6B" w:rsidRDefault="00457C6B">
      <w:pPr>
        <w:rPr>
          <w:rFonts w:ascii="Arial" w:hAnsi="Arial" w:cs="Arial"/>
          <w:color w:val="0000FF"/>
          <w:sz w:val="20"/>
          <w:szCs w:val="20"/>
        </w:rPr>
      </w:pPr>
    </w:p>
    <w:p w:rsidR="00457C6B" w:rsidRDefault="0047703E">
      <w:pPr>
        <w:rPr>
          <w:rFonts w:ascii="Arial" w:hAnsi="Arial" w:cs="Arial"/>
          <w:b/>
          <w:i/>
          <w:color w:val="0000FF"/>
          <w:sz w:val="18"/>
          <w:szCs w:val="18"/>
        </w:rPr>
      </w:pPr>
      <w:r>
        <w:rPr>
          <w:rFonts w:ascii="Arial" w:hAnsi="Arial" w:cs="Arial"/>
          <w:b/>
          <w:i/>
          <w:color w:val="0000FF"/>
          <w:sz w:val="18"/>
          <w:szCs w:val="18"/>
        </w:rPr>
        <w:t>Nel caso di risultato medio positivo nel triennio 2011/2013 occorre accantonare in misura proporzionale alla quota di partecipazione del risultato netto negativo conseguito nell’esercizio precedente con la seguente gradualità:</w:t>
      </w:r>
    </w:p>
    <w:p w:rsidR="00457C6B" w:rsidRDefault="0047703E">
      <w:pPr>
        <w:rPr>
          <w:rFonts w:ascii="Arial" w:hAnsi="Arial" w:cs="Arial"/>
          <w:b/>
          <w:i/>
          <w:color w:val="0000FF"/>
          <w:sz w:val="18"/>
          <w:szCs w:val="18"/>
        </w:rPr>
      </w:pPr>
      <w:r>
        <w:rPr>
          <w:rFonts w:ascii="Arial" w:hAnsi="Arial" w:cs="Arial"/>
          <w:b/>
          <w:i/>
          <w:color w:val="0000FF"/>
          <w:sz w:val="18"/>
          <w:szCs w:val="18"/>
        </w:rPr>
        <w:t>25% per l’anno 2014</w:t>
      </w:r>
    </w:p>
    <w:p w:rsidR="00457C6B" w:rsidRDefault="0047703E">
      <w:pPr>
        <w:rPr>
          <w:rFonts w:ascii="Arial" w:hAnsi="Arial" w:cs="Arial"/>
          <w:b/>
          <w:i/>
          <w:color w:val="0000FF"/>
          <w:sz w:val="18"/>
          <w:szCs w:val="18"/>
        </w:rPr>
      </w:pPr>
      <w:r>
        <w:rPr>
          <w:rFonts w:ascii="Arial" w:hAnsi="Arial" w:cs="Arial"/>
          <w:b/>
          <w:i/>
          <w:color w:val="0000FF"/>
          <w:sz w:val="18"/>
          <w:szCs w:val="18"/>
        </w:rPr>
        <w:t>50% per l’anno 2015</w:t>
      </w:r>
    </w:p>
    <w:p w:rsidR="00457C6B" w:rsidRDefault="0047703E">
      <w:pPr>
        <w:rPr>
          <w:rFonts w:ascii="Arial" w:hAnsi="Arial" w:cs="Arial"/>
          <w:b/>
          <w:i/>
          <w:color w:val="0000FF"/>
          <w:sz w:val="18"/>
          <w:szCs w:val="18"/>
        </w:rPr>
      </w:pPr>
      <w:r>
        <w:rPr>
          <w:rFonts w:ascii="Arial" w:hAnsi="Arial" w:cs="Arial"/>
          <w:b/>
          <w:i/>
          <w:color w:val="0000FF"/>
          <w:sz w:val="18"/>
          <w:szCs w:val="18"/>
        </w:rPr>
        <w:t>75% per l’anno 2016</w:t>
      </w:r>
    </w:p>
    <w:p w:rsidR="00457C6B" w:rsidRDefault="0047703E">
      <w:pPr>
        <w:rPr>
          <w:rFonts w:ascii="Arial" w:hAnsi="Arial" w:cs="Arial"/>
          <w:b/>
          <w:i/>
          <w:color w:val="0000FF"/>
          <w:sz w:val="18"/>
          <w:szCs w:val="18"/>
        </w:rPr>
      </w:pPr>
      <w:r>
        <w:rPr>
          <w:rFonts w:ascii="Arial" w:hAnsi="Arial" w:cs="Arial"/>
          <w:b/>
          <w:i/>
          <w:color w:val="0000FF"/>
          <w:sz w:val="18"/>
          <w:szCs w:val="18"/>
        </w:rPr>
        <w:t>( esempio</w:t>
      </w:r>
    </w:p>
    <w:p w:rsidR="00457C6B" w:rsidRDefault="0047703E">
      <w:pPr>
        <w:rPr>
          <w:rFonts w:ascii="Arial" w:hAnsi="Arial" w:cs="Arial"/>
          <w:b/>
          <w:i/>
          <w:color w:val="0000FF"/>
          <w:sz w:val="18"/>
          <w:szCs w:val="18"/>
        </w:rPr>
      </w:pPr>
      <w:r>
        <w:rPr>
          <w:rFonts w:ascii="Arial" w:hAnsi="Arial" w:cs="Arial"/>
          <w:b/>
          <w:i/>
          <w:color w:val="0000FF"/>
          <w:sz w:val="18"/>
          <w:szCs w:val="18"/>
        </w:rPr>
        <w:t>Media positiva triennio 2011/2013</w:t>
      </w:r>
      <w:r>
        <w:rPr>
          <w:rFonts w:ascii="Arial" w:hAnsi="Arial" w:cs="Arial"/>
          <w:b/>
          <w:i/>
          <w:color w:val="0000FF"/>
          <w:sz w:val="18"/>
          <w:szCs w:val="18"/>
        </w:rPr>
        <w:tab/>
      </w:r>
      <w:r>
        <w:rPr>
          <w:rFonts w:ascii="Arial" w:hAnsi="Arial" w:cs="Arial"/>
          <w:b/>
          <w:i/>
          <w:color w:val="0000FF"/>
          <w:sz w:val="18"/>
          <w:szCs w:val="18"/>
        </w:rPr>
        <w:tab/>
        <w:t>100</w:t>
      </w:r>
    </w:p>
    <w:p w:rsidR="00457C6B" w:rsidRDefault="0047703E">
      <w:pPr>
        <w:rPr>
          <w:rFonts w:ascii="Arial" w:hAnsi="Arial" w:cs="Arial"/>
          <w:b/>
          <w:i/>
          <w:color w:val="0000FF"/>
          <w:sz w:val="18"/>
          <w:szCs w:val="18"/>
        </w:rPr>
      </w:pPr>
      <w:r>
        <w:rPr>
          <w:rFonts w:ascii="Arial" w:hAnsi="Arial" w:cs="Arial"/>
          <w:b/>
          <w:i/>
          <w:color w:val="0000FF"/>
          <w:sz w:val="18"/>
          <w:szCs w:val="18"/>
        </w:rPr>
        <w:t>Perdita 2014=100</w:t>
      </w:r>
    </w:p>
    <w:p w:rsidR="00457C6B" w:rsidRDefault="0047703E">
      <w:pPr>
        <w:rPr>
          <w:rFonts w:ascii="Arial" w:hAnsi="Arial" w:cs="Arial"/>
          <w:b/>
          <w:i/>
          <w:color w:val="0000FF"/>
          <w:sz w:val="18"/>
          <w:szCs w:val="18"/>
        </w:rPr>
      </w:pPr>
      <w:r>
        <w:rPr>
          <w:rFonts w:ascii="Arial" w:hAnsi="Arial" w:cs="Arial"/>
          <w:b/>
          <w:i/>
          <w:color w:val="0000FF"/>
          <w:sz w:val="18"/>
          <w:szCs w:val="18"/>
        </w:rPr>
        <w:t>Accantonamento 2015 = 25 ( 25% della perdita di 100)</w:t>
      </w:r>
    </w:p>
    <w:p w:rsidR="00457C6B" w:rsidRDefault="00457C6B">
      <w:pPr>
        <w:rPr>
          <w:rFonts w:ascii="Arial" w:hAnsi="Arial" w:cs="Arial"/>
          <w:b/>
          <w:i/>
          <w:color w:val="0000FF"/>
          <w:sz w:val="20"/>
          <w:szCs w:val="20"/>
        </w:rPr>
      </w:pPr>
    </w:p>
    <w:p w:rsidR="00457C6B" w:rsidRDefault="00457C6B">
      <w:pPr>
        <w:rPr>
          <w:rFonts w:ascii="Arial" w:hAnsi="Arial" w:cs="Arial"/>
          <w:color w:val="0000FF"/>
          <w:sz w:val="20"/>
          <w:szCs w:val="20"/>
        </w:rPr>
      </w:pPr>
    </w:p>
    <w:p w:rsidR="00457C6B" w:rsidRDefault="0047703E">
      <w:pPr>
        <w:pStyle w:val="Sottotitolo"/>
        <w:jc w:val="left"/>
        <w:rPr>
          <w:rFonts w:ascii="Arial" w:hAnsi="Arial" w:cs="Arial"/>
          <w:b/>
          <w:sz w:val="22"/>
          <w:szCs w:val="22"/>
        </w:rPr>
      </w:pPr>
      <w:r>
        <w:rPr>
          <w:rFonts w:ascii="Arial" w:hAnsi="Arial" w:cs="Arial"/>
          <w:b/>
          <w:sz w:val="22"/>
          <w:szCs w:val="22"/>
        </w:rPr>
        <w:t>Riduzione dei compensi per risultato economico negativo nei tre precedenti esercizi</w:t>
      </w:r>
    </w:p>
    <w:p w:rsidR="00457C6B" w:rsidRDefault="0047703E">
      <w:pPr>
        <w:rPr>
          <w:rFonts w:ascii="Arial" w:hAnsi="Arial" w:cs="Arial"/>
          <w:sz w:val="22"/>
          <w:szCs w:val="22"/>
        </w:rPr>
      </w:pPr>
      <w:r>
        <w:rPr>
          <w:rFonts w:ascii="Arial" w:hAnsi="Arial" w:cs="Arial"/>
          <w:sz w:val="22"/>
          <w:szCs w:val="22"/>
        </w:rPr>
        <w:t>Le seguenti aziende speciali, istituzioni e società a partecipazione di maggioranza diretta e indiretta dell’ente locale titolari di affidamenti diretti per una quota superiore all’80% del valore della produzione, avendo avuto un risultato economico negativo nei tre esercizi precedenti, hanno provveduto dal 1/1/2015 a ridurre del 30% il compenso degli organi di amministrazione.</w:t>
      </w:r>
    </w:p>
    <w:p w:rsidR="00457C6B" w:rsidRDefault="0047703E">
      <w:pPr>
        <w:rPr>
          <w:rFonts w:ascii="Arial" w:hAnsi="Arial" w:cs="Arial"/>
          <w:sz w:val="22"/>
          <w:szCs w:val="22"/>
        </w:rPr>
      </w:pPr>
      <w:proofErr w:type="spellStart"/>
      <w:r>
        <w:rPr>
          <w:rFonts w:ascii="Arial" w:hAnsi="Arial" w:cs="Arial"/>
          <w:sz w:val="22"/>
          <w:szCs w:val="22"/>
        </w:rPr>
        <w:t>……………………………</w:t>
      </w:r>
      <w:proofErr w:type="spellEnd"/>
      <w:r>
        <w:rPr>
          <w:rFonts w:ascii="Arial" w:hAnsi="Arial" w:cs="Arial"/>
          <w:sz w:val="22"/>
          <w:szCs w:val="22"/>
        </w:rPr>
        <w:t>..</w:t>
      </w: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7703E">
      <w:pPr>
        <w:pStyle w:val="Sottotitolo"/>
        <w:jc w:val="left"/>
        <w:rPr>
          <w:rFonts w:ascii="Arial" w:hAnsi="Arial" w:cs="Arial"/>
          <w:b/>
          <w:sz w:val="22"/>
          <w:szCs w:val="22"/>
        </w:rPr>
      </w:pPr>
      <w:r>
        <w:rPr>
          <w:rFonts w:ascii="Arial" w:hAnsi="Arial" w:cs="Arial"/>
          <w:b/>
          <w:sz w:val="22"/>
          <w:szCs w:val="22"/>
        </w:rPr>
        <w:t>Piano operativo di razionalizzazione delle società e delle partecipazioni</w:t>
      </w:r>
    </w:p>
    <w:p w:rsidR="00457C6B" w:rsidRDefault="0047703E">
      <w:pPr>
        <w:rPr>
          <w:rFonts w:ascii="Arial" w:hAnsi="Arial" w:cs="Arial"/>
          <w:sz w:val="22"/>
          <w:szCs w:val="22"/>
        </w:rPr>
      </w:pPr>
      <w:r>
        <w:rPr>
          <w:rFonts w:ascii="Arial" w:hAnsi="Arial" w:cs="Arial"/>
          <w:sz w:val="22"/>
          <w:szCs w:val="22"/>
        </w:rPr>
        <w:t>L’ente ha approvato (o dovrà approvare entro il 31/3/2015) ai sensi del comma 612 dell’art.1 della legge 190/2014, un piano operativo, corredato da relazione tecnica, di razionalizzazione delle società e delle partecipazioni societarie direttamente o indirettamente possedute, indicando le modalità, i tempi di attuazione ed il dettaglio dei risparmi da conseguire.</w:t>
      </w:r>
    </w:p>
    <w:p w:rsidR="00457C6B" w:rsidRDefault="0047703E">
      <w:pPr>
        <w:rPr>
          <w:rFonts w:ascii="Arial" w:hAnsi="Arial" w:cs="Arial"/>
          <w:sz w:val="22"/>
          <w:szCs w:val="22"/>
        </w:rPr>
      </w:pPr>
      <w:r>
        <w:rPr>
          <w:rFonts w:ascii="Arial" w:hAnsi="Arial" w:cs="Arial"/>
          <w:sz w:val="22"/>
          <w:szCs w:val="22"/>
        </w:rPr>
        <w:t>Tale piano con unita relazione è stato trasmesso (o dovrà essere trasmesso) alla Sezione regionale di controllo della Corte dei Conti e pubblicato nel sito internet dell’ente.</w:t>
      </w: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7703E">
      <w:pPr>
        <w:rPr>
          <w:rFonts w:ascii="Arial" w:hAnsi="Arial" w:cs="Arial"/>
          <w:sz w:val="20"/>
          <w:szCs w:val="20"/>
        </w:rPr>
      </w:pPr>
      <w:r>
        <w:rPr>
          <w:rFonts w:ascii="Arial" w:hAnsi="Arial" w:cs="Arial"/>
          <w:sz w:val="20"/>
          <w:szCs w:val="20"/>
        </w:rPr>
        <w:br w:type="page"/>
      </w: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rPr>
          <w:rFonts w:ascii="Arial" w:hAnsi="Arial" w:cs="Arial"/>
          <w:sz w:val="20"/>
          <w:szCs w:val="20"/>
        </w:rPr>
      </w:pPr>
    </w:p>
    <w:p w:rsidR="00457C6B" w:rsidRDefault="00457C6B">
      <w:pPr>
        <w:pStyle w:val="Titolo3"/>
      </w:pPr>
      <w:bookmarkStart w:id="40" w:name="_SPESE_IN_CONTO"/>
      <w:bookmarkStart w:id="41" w:name="_INDEBITAMENTO"/>
      <w:bookmarkEnd w:id="40"/>
      <w:bookmarkEnd w:id="41"/>
    </w:p>
    <w:p w:rsidR="00457C6B" w:rsidRDefault="0047703E">
      <w:pPr>
        <w:pStyle w:val="Titolo3"/>
        <w:pBdr>
          <w:top w:val="single" w:sz="4" w:space="1" w:color="auto"/>
          <w:left w:val="single" w:sz="4" w:space="4" w:color="auto"/>
          <w:bottom w:val="single" w:sz="4" w:space="1" w:color="auto"/>
          <w:right w:val="single" w:sz="4" w:space="4" w:color="auto"/>
        </w:pBdr>
        <w:jc w:val="center"/>
        <w:rPr>
          <w:sz w:val="32"/>
          <w:szCs w:val="32"/>
          <w:u w:val="none"/>
        </w:rPr>
      </w:pPr>
      <w:r>
        <w:rPr>
          <w:sz w:val="32"/>
          <w:szCs w:val="32"/>
          <w:u w:val="none"/>
        </w:rPr>
        <w:t>INDEBITAMENTO</w:t>
      </w:r>
    </w:p>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57C6B"/>
    <w:p w:rsidR="00457C6B" w:rsidRDefault="0047703E">
      <w:pPr>
        <w:pStyle w:val="Sottotitolo"/>
        <w:jc w:val="left"/>
        <w:rPr>
          <w:rFonts w:ascii="Arial" w:hAnsi="Arial" w:cs="Arial"/>
          <w:b/>
          <w:sz w:val="22"/>
          <w:szCs w:val="22"/>
        </w:rPr>
      </w:pPr>
      <w:r>
        <w:br w:type="page"/>
      </w:r>
      <w:r>
        <w:rPr>
          <w:rFonts w:ascii="Arial" w:hAnsi="Arial" w:cs="Arial"/>
          <w:b/>
          <w:sz w:val="22"/>
          <w:szCs w:val="22"/>
        </w:rPr>
        <w:lastRenderedPageBreak/>
        <w:t>Limiti capacità di indebitamento</w:t>
      </w:r>
    </w:p>
    <w:p w:rsidR="00457C6B" w:rsidRDefault="0047703E">
      <w:pPr>
        <w:spacing w:after="120"/>
        <w:jc w:val="both"/>
        <w:rPr>
          <w:rFonts w:ascii="Arial" w:hAnsi="Arial" w:cs="Arial"/>
          <w:sz w:val="22"/>
          <w:szCs w:val="22"/>
        </w:rPr>
      </w:pPr>
      <w:r>
        <w:rPr>
          <w:rFonts w:ascii="Arial" w:hAnsi="Arial" w:cs="Arial"/>
          <w:sz w:val="22"/>
          <w:szCs w:val="22"/>
        </w:rPr>
        <w:t xml:space="preserve">L’ammontare dei prestiti previsti per il finanziamento di spese d’investimento risulta compatibile per l’anno 2015 con il limite della capacità di indebitamento previsto dall’articolo 204 del </w:t>
      </w:r>
      <w:r>
        <w:rPr>
          <w:rFonts w:ascii="Arial" w:hAnsi="Arial" w:cs="Arial"/>
          <w:sz w:val="20"/>
          <w:szCs w:val="20"/>
        </w:rPr>
        <w:t>TUEL</w:t>
      </w:r>
      <w:r>
        <w:rPr>
          <w:rFonts w:ascii="Arial" w:hAnsi="Arial" w:cs="Arial"/>
          <w:sz w:val="22"/>
          <w:szCs w:val="22"/>
        </w:rPr>
        <w:t xml:space="preserve"> come dimostrato dal calcolo riportato nel seguente prospetto.</w:t>
      </w:r>
    </w:p>
    <w:p w:rsidR="00457C6B" w:rsidRDefault="0047703E">
      <w:pPr>
        <w:autoSpaceDE w:val="0"/>
        <w:adjustRightInd w:val="0"/>
        <w:jc w:val="both"/>
        <w:rPr>
          <w:rFonts w:ascii="Arial" w:hAnsi="Arial" w:cs="Arial"/>
          <w:color w:val="0000FF"/>
          <w:spacing w:val="-5"/>
          <w:sz w:val="20"/>
          <w:szCs w:val="20"/>
          <w:lang w:eastAsia="en-US"/>
        </w:rPr>
      </w:pPr>
      <w:r>
        <w:rPr>
          <w:rFonts w:ascii="Arial" w:hAnsi="Arial" w:cs="Arial"/>
          <w:color w:val="0000FF"/>
          <w:sz w:val="20"/>
          <w:szCs w:val="20"/>
        </w:rPr>
        <w:t xml:space="preserve">(L’importo annuale degli interessi sommato a quello dei prestiti ( mutui, prestiti obbligazionari ed apertura di credito) precedenti assunti ed a quello derivante dalle garanzie prestate ai  sensi dell’art.207 del TUEL, al netto dei contributi statali e regionali in conto interessi non deve superare il 10% delle entrate relative ai primi tre titoli (primi due titoli per le comunità montane) del rendiconto del penultimo anno precedente quello in cui viene prevista l’assunzione del prestito.) </w:t>
      </w:r>
    </w:p>
    <w:p w:rsidR="00457C6B" w:rsidRDefault="0047703E">
      <w:pPr>
        <w:pStyle w:val="BodyText21"/>
        <w:rPr>
          <w:rFonts w:cs="Arial"/>
          <w:b w:val="0"/>
          <w:i w:val="0"/>
          <w:color w:val="0000FF"/>
          <w:sz w:val="20"/>
        </w:rPr>
      </w:pPr>
      <w:r>
        <w:rPr>
          <w:rFonts w:cs="Arial"/>
          <w:b w:val="0"/>
          <w:i w:val="0"/>
          <w:color w:val="0000FF"/>
          <w:sz w:val="20"/>
        </w:rPr>
        <w:t xml:space="preserve">(Ai sensi dell’art. 119 della Costituzione e dell’art. 30, comma 15, della Legge n. 289/02 sussiste il divieto per gli enti di indebitarsi per finanziare spese diverse da quelle di investimento. La definizione di indebitamento e delle spese di investimento finanziabili con lo stesso, sono contenute nell’art. 3, commi da 16 a 21 della Legge 350/2003). </w:t>
      </w:r>
    </w:p>
    <w:p w:rsidR="00457C6B" w:rsidRDefault="0047703E">
      <w:pPr>
        <w:pStyle w:val="BodyText21"/>
        <w:rPr>
          <w:rFonts w:cs="Arial"/>
          <w:b w:val="0"/>
          <w:i w:val="0"/>
          <w:color w:val="0000FF"/>
          <w:sz w:val="20"/>
        </w:rPr>
      </w:pPr>
      <w:r>
        <w:rPr>
          <w:rFonts w:cs="Arial"/>
          <w:b w:val="0"/>
          <w:i w:val="0"/>
          <w:color w:val="0000FF"/>
          <w:sz w:val="20"/>
        </w:rPr>
        <w:t>(Il comma 539 dell’art.1 della legge 190/2014 aumenta al 10% la percentuale degli interessi passivi sulle entrate correnti)</w:t>
      </w:r>
    </w:p>
    <w:p w:rsidR="00AC22B5" w:rsidRDefault="00AC22B5">
      <w:pPr>
        <w:pStyle w:val="BodyText21"/>
        <w:rPr>
          <w:rFonts w:cs="Arial"/>
          <w:b w:val="0"/>
          <w:i w:val="0"/>
          <w:color w:val="0000FF"/>
          <w:sz w:val="20"/>
        </w:rPr>
      </w:pPr>
      <w:r w:rsidRPr="00B771D5">
        <w:rPr>
          <w:rFonts w:cs="Arial"/>
          <w:b w:val="0"/>
          <w:i w:val="0"/>
          <w:color w:val="0000FF"/>
          <w:sz w:val="20"/>
        </w:rPr>
        <w:object w:dxaOrig="8524" w:dyaOrig="3801">
          <v:shape id="_x0000_i1054" type="#_x0000_t75" style="width:425.9pt;height:190.2pt" o:ole="">
            <v:imagedata r:id="rId80" o:title=""/>
          </v:shape>
          <o:OLEObject Type="Embed" ProgID="Excel.Sheet.8" ShapeID="_x0000_i1054" DrawAspect="Content" ObjectID="_1484374355" r:id="rId81"/>
        </w:object>
      </w:r>
    </w:p>
    <w:p w:rsidR="00FB57D0" w:rsidRDefault="00FB57D0">
      <w:pPr>
        <w:pStyle w:val="BodyText21"/>
        <w:rPr>
          <w:rFonts w:cs="Arial"/>
          <w:b w:val="0"/>
          <w:i w:val="0"/>
          <w:color w:val="0000FF"/>
          <w:sz w:val="20"/>
        </w:rPr>
      </w:pPr>
    </w:p>
    <w:p w:rsidR="00457C6B" w:rsidRDefault="00457C6B">
      <w:pPr>
        <w:pStyle w:val="BodyText21"/>
        <w:rPr>
          <w:rFonts w:cs="Arial"/>
          <w:color w:val="0000FF"/>
          <w:sz w:val="18"/>
          <w:szCs w:val="18"/>
        </w:rPr>
      </w:pPr>
    </w:p>
    <w:p w:rsidR="00457C6B" w:rsidRDefault="0047703E">
      <w:pPr>
        <w:pStyle w:val="BodyText21"/>
        <w:rPr>
          <w:rFonts w:cs="Arial"/>
          <w:b w:val="0"/>
          <w:i w:val="0"/>
          <w:color w:val="0000FF"/>
          <w:sz w:val="20"/>
        </w:rPr>
      </w:pPr>
      <w:r>
        <w:rPr>
          <w:rFonts w:cs="Arial"/>
          <w:b w:val="0"/>
          <w:i w:val="0"/>
          <w:color w:val="0000FF"/>
          <w:sz w:val="20"/>
        </w:rPr>
        <w:t>(Fino al 31/12/2015 la percentuale massima della anticipazione di cassa sulle entrate correnti è stabilita nella misura del 35% ai sensi dell’art.2, comma 3 bis del d.l. n.4/2014)</w:t>
      </w:r>
    </w:p>
    <w:p w:rsidR="00457C6B" w:rsidRDefault="0047703E">
      <w:pPr>
        <w:pStyle w:val="BodyText21"/>
        <w:rPr>
          <w:rFonts w:cs="Arial"/>
          <w:b w:val="0"/>
          <w:i w:val="0"/>
          <w:sz w:val="22"/>
          <w:szCs w:val="22"/>
        </w:rPr>
      </w:pPr>
      <w:r>
        <w:rPr>
          <w:rFonts w:cs="Arial"/>
          <w:b w:val="0"/>
          <w:i w:val="0"/>
          <w:sz w:val="22"/>
          <w:szCs w:val="22"/>
        </w:rPr>
        <w:t xml:space="preserve">Gli interessi passivi relativi alle operazioni di indebitamento garantite con fidejussione rilasciata dall’ente ai sensi dell’art. 207 del </w:t>
      </w:r>
      <w:r>
        <w:rPr>
          <w:rFonts w:cs="Arial"/>
          <w:b w:val="0"/>
          <w:i w:val="0"/>
          <w:sz w:val="20"/>
        </w:rPr>
        <w:t>TUEL</w:t>
      </w:r>
      <w:r>
        <w:rPr>
          <w:rFonts w:cs="Arial"/>
          <w:b w:val="0"/>
          <w:i w:val="0"/>
          <w:sz w:val="22"/>
          <w:szCs w:val="22"/>
        </w:rPr>
        <w:t xml:space="preserve"> ammontano ad euro </w:t>
      </w:r>
      <w:proofErr w:type="spellStart"/>
      <w:r>
        <w:rPr>
          <w:rFonts w:cs="Arial"/>
          <w:b w:val="0"/>
          <w:i w:val="0"/>
          <w:sz w:val="22"/>
          <w:szCs w:val="22"/>
        </w:rPr>
        <w:t>…………</w:t>
      </w:r>
      <w:proofErr w:type="spellEnd"/>
      <w:r>
        <w:rPr>
          <w:rFonts w:cs="Arial"/>
          <w:b w:val="0"/>
          <w:i w:val="0"/>
          <w:sz w:val="22"/>
          <w:szCs w:val="22"/>
        </w:rPr>
        <w:t>, così distinti:</w:t>
      </w:r>
    </w:p>
    <w:p w:rsidR="00457C6B" w:rsidRDefault="0047703E">
      <w:pPr>
        <w:pStyle w:val="BodyText21"/>
        <w:numPr>
          <w:ilvl w:val="0"/>
          <w:numId w:val="23"/>
        </w:numPr>
        <w:rPr>
          <w:rFonts w:cs="Arial"/>
          <w:b w:val="0"/>
          <w:i w:val="0"/>
          <w:sz w:val="22"/>
          <w:szCs w:val="22"/>
        </w:rPr>
      </w:pPr>
      <w:r>
        <w:rPr>
          <w:rFonts w:cs="Arial"/>
          <w:b w:val="0"/>
          <w:i w:val="0"/>
          <w:sz w:val="22"/>
          <w:szCs w:val="22"/>
        </w:rPr>
        <w:t xml:space="preserve">per fideiussioni  </w:t>
      </w:r>
      <w:r>
        <w:rPr>
          <w:rFonts w:cs="Arial"/>
          <w:b w:val="0"/>
          <w:i w:val="0"/>
          <w:sz w:val="22"/>
          <w:szCs w:val="22"/>
        </w:rPr>
        <w:tab/>
      </w:r>
      <w:r>
        <w:rPr>
          <w:rFonts w:cs="Arial"/>
          <w:b w:val="0"/>
          <w:i w:val="0"/>
          <w:sz w:val="22"/>
          <w:szCs w:val="22"/>
        </w:rPr>
        <w:tab/>
        <w:t xml:space="preserve">euro </w:t>
      </w: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numPr>
          <w:ilvl w:val="0"/>
          <w:numId w:val="23"/>
        </w:numPr>
        <w:rPr>
          <w:rFonts w:cs="Arial"/>
          <w:b w:val="0"/>
          <w:i w:val="0"/>
          <w:sz w:val="22"/>
          <w:szCs w:val="22"/>
        </w:rPr>
      </w:pPr>
      <w:r>
        <w:rPr>
          <w:rFonts w:cs="Arial"/>
          <w:b w:val="0"/>
          <w:i w:val="0"/>
          <w:sz w:val="22"/>
          <w:szCs w:val="22"/>
        </w:rPr>
        <w:t xml:space="preserve">per lettere di patronage </w:t>
      </w:r>
      <w:r>
        <w:rPr>
          <w:rFonts w:cs="Arial"/>
          <w:b w:val="0"/>
          <w:sz w:val="22"/>
          <w:szCs w:val="22"/>
        </w:rPr>
        <w:t>forti</w:t>
      </w:r>
      <w:r>
        <w:rPr>
          <w:rFonts w:cs="Arial"/>
          <w:b w:val="0"/>
          <w:sz w:val="22"/>
          <w:szCs w:val="22"/>
        </w:rPr>
        <w:tab/>
      </w:r>
      <w:r>
        <w:rPr>
          <w:rFonts w:cs="Arial"/>
          <w:b w:val="0"/>
          <w:i w:val="0"/>
          <w:sz w:val="22"/>
          <w:szCs w:val="22"/>
        </w:rPr>
        <w:t xml:space="preserve">euro </w:t>
      </w:r>
      <w:proofErr w:type="spellStart"/>
      <w:r>
        <w:rPr>
          <w:rFonts w:cs="Arial"/>
          <w:b w:val="0"/>
          <w:i w:val="0"/>
          <w:sz w:val="22"/>
          <w:szCs w:val="22"/>
        </w:rPr>
        <w:t>…………</w:t>
      </w:r>
      <w:proofErr w:type="spellEnd"/>
      <w:r>
        <w:rPr>
          <w:rFonts w:cs="Arial"/>
          <w:b w:val="0"/>
          <w:i w:val="0"/>
          <w:sz w:val="22"/>
          <w:szCs w:val="22"/>
        </w:rPr>
        <w:t>..</w:t>
      </w:r>
    </w:p>
    <w:p w:rsidR="00457C6B" w:rsidRDefault="0047703E">
      <w:pPr>
        <w:pStyle w:val="BodyText21"/>
        <w:rPr>
          <w:rFonts w:cs="Arial"/>
          <w:b w:val="0"/>
          <w:i w:val="0"/>
          <w:sz w:val="22"/>
          <w:szCs w:val="22"/>
        </w:rPr>
      </w:pPr>
      <w:r>
        <w:rPr>
          <w:rFonts w:cs="Arial"/>
          <w:b w:val="0"/>
          <w:i w:val="0"/>
          <w:sz w:val="22"/>
          <w:szCs w:val="22"/>
        </w:rPr>
        <w:t xml:space="preserve">L’incidenza degli interessi passivi compresi quelli derivanti da garanzie fideiussorie prestate, sulle entrate correnti del penultimo rendiconto precedente o su quelle previste è così prevista in relazione anche ai limiti di cui al citato art. 204 del </w:t>
      </w:r>
      <w:r>
        <w:rPr>
          <w:rFonts w:cs="Arial"/>
          <w:b w:val="0"/>
          <w:i w:val="0"/>
          <w:sz w:val="20"/>
        </w:rPr>
        <w:t>TUEL</w:t>
      </w:r>
      <w:r>
        <w:rPr>
          <w:rFonts w:cs="Arial"/>
          <w:b w:val="0"/>
          <w:i w:val="0"/>
          <w:sz w:val="22"/>
          <w:szCs w:val="22"/>
        </w:rPr>
        <w:t>;</w:t>
      </w:r>
    </w:p>
    <w:p w:rsidR="00AC22B5" w:rsidRDefault="00AC22B5">
      <w:pPr>
        <w:pStyle w:val="BodyText21"/>
        <w:rPr>
          <w:rFonts w:cs="Arial"/>
          <w:b w:val="0"/>
          <w:i w:val="0"/>
          <w:sz w:val="22"/>
          <w:szCs w:val="22"/>
        </w:rPr>
      </w:pPr>
      <w:r w:rsidRPr="00B771D5">
        <w:rPr>
          <w:rFonts w:cs="Arial"/>
          <w:b w:val="0"/>
          <w:i w:val="0"/>
          <w:sz w:val="22"/>
          <w:szCs w:val="22"/>
        </w:rPr>
        <w:object w:dxaOrig="6992" w:dyaOrig="1616">
          <v:shape id="_x0000_i1055" type="#_x0000_t75" style="width:349.8pt;height:80.85pt" o:ole="">
            <v:imagedata r:id="rId82" o:title=""/>
          </v:shape>
          <o:OLEObject Type="Embed" ProgID="Excel.Sheet.8" ShapeID="_x0000_i1055" DrawAspect="Content" ObjectID="_1484374356" r:id="rId83"/>
        </w:object>
      </w:r>
    </w:p>
    <w:p w:rsidR="00FB57D0" w:rsidRDefault="00FB57D0">
      <w:pPr>
        <w:pStyle w:val="BodyText21"/>
        <w:rPr>
          <w:rFonts w:cs="Arial"/>
          <w:b w:val="0"/>
          <w:i w:val="0"/>
          <w:sz w:val="22"/>
          <w:szCs w:val="22"/>
        </w:rPr>
      </w:pPr>
    </w:p>
    <w:p w:rsidR="00457C6B" w:rsidRDefault="0047703E">
      <w:pPr>
        <w:pStyle w:val="BodyText21"/>
        <w:rPr>
          <w:rFonts w:cs="Arial"/>
          <w:b w:val="0"/>
          <w:i w:val="0"/>
          <w:sz w:val="22"/>
          <w:szCs w:val="22"/>
        </w:rPr>
      </w:pPr>
      <w:r>
        <w:rPr>
          <w:rFonts w:cs="Arial"/>
          <w:b w:val="0"/>
          <w:i w:val="0"/>
          <w:sz w:val="22"/>
          <w:szCs w:val="22"/>
        </w:rPr>
        <w:t xml:space="preserve">In merito si osserva </w:t>
      </w:r>
      <w:proofErr w:type="spellStart"/>
      <w:r>
        <w:rPr>
          <w:rFonts w:cs="Arial"/>
          <w:b w:val="0"/>
          <w:i w:val="0"/>
          <w:sz w:val="22"/>
          <w:szCs w:val="22"/>
        </w:rPr>
        <w:t>……………………</w:t>
      </w:r>
      <w:proofErr w:type="spellEnd"/>
    </w:p>
    <w:p w:rsidR="00457C6B" w:rsidRDefault="00457C6B">
      <w:pPr>
        <w:rPr>
          <w:rFonts w:ascii="Arial" w:hAnsi="Arial" w:cs="Arial"/>
        </w:rPr>
      </w:pPr>
    </w:p>
    <w:p w:rsidR="00545B74" w:rsidRDefault="00545B74">
      <w:pPr>
        <w:rPr>
          <w:rFonts w:ascii="Arial" w:hAnsi="Arial" w:cs="Arial"/>
        </w:rPr>
      </w:pPr>
    </w:p>
    <w:p w:rsidR="00457C6B" w:rsidRDefault="0047703E">
      <w:pPr>
        <w:pStyle w:val="Titolo3"/>
      </w:pPr>
      <w:r>
        <w:t>Interessi passivi e oneri finanziari diversi</w:t>
      </w:r>
    </w:p>
    <w:p w:rsidR="00457C6B" w:rsidRDefault="0047703E">
      <w:pPr>
        <w:pStyle w:val="BodyText21"/>
        <w:spacing w:before="120"/>
        <w:rPr>
          <w:rFonts w:cs="Arial"/>
          <w:b w:val="0"/>
          <w:i w:val="0"/>
          <w:sz w:val="22"/>
          <w:szCs w:val="22"/>
        </w:rPr>
      </w:pPr>
      <w:r>
        <w:rPr>
          <w:rFonts w:cs="Arial"/>
          <w:b w:val="0"/>
          <w:i w:val="0"/>
          <w:sz w:val="22"/>
          <w:szCs w:val="22"/>
        </w:rPr>
        <w:t xml:space="preserve">La previsione di spesa per interessi passivi e oneri finanziari diversi, pari a euro </w:t>
      </w:r>
      <w:proofErr w:type="spellStart"/>
      <w:r>
        <w:rPr>
          <w:rFonts w:cs="Arial"/>
          <w:b w:val="0"/>
          <w:i w:val="0"/>
          <w:sz w:val="22"/>
          <w:szCs w:val="22"/>
        </w:rPr>
        <w:t>………</w:t>
      </w:r>
      <w:proofErr w:type="spellEnd"/>
      <w:r>
        <w:rPr>
          <w:rFonts w:cs="Arial"/>
          <w:b w:val="0"/>
          <w:i w:val="0"/>
          <w:sz w:val="22"/>
          <w:szCs w:val="22"/>
        </w:rPr>
        <w:t xml:space="preserve">, è congrua sulla base del riepilogo predisposto dal responsabile del servizio finanziario dei mutui e degli altri prestiti contratti a tutt’oggi e rientra nel limite di indebitamento previsto dall’articolo 204 del </w:t>
      </w:r>
      <w:r>
        <w:rPr>
          <w:rFonts w:cs="Arial"/>
          <w:i w:val="0"/>
          <w:sz w:val="20"/>
        </w:rPr>
        <w:t>TUEL</w:t>
      </w:r>
      <w:r>
        <w:rPr>
          <w:rFonts w:cs="Arial"/>
          <w:b w:val="0"/>
          <w:i w:val="0"/>
          <w:sz w:val="22"/>
          <w:szCs w:val="22"/>
        </w:rPr>
        <w:t xml:space="preserve"> come modificato dall’art.8 della Legge 183/2011.</w:t>
      </w:r>
    </w:p>
    <w:p w:rsidR="00457C6B" w:rsidRDefault="00457C6B">
      <w:pPr>
        <w:widowControl w:val="0"/>
        <w:autoSpaceDE w:val="0"/>
        <w:autoSpaceDN w:val="0"/>
        <w:adjustRightInd w:val="0"/>
        <w:rPr>
          <w:rFonts w:ascii="Arial" w:hAnsi="Arial" w:cs="Arial"/>
          <w:sz w:val="22"/>
          <w:szCs w:val="22"/>
          <w:u w:val="single"/>
        </w:rPr>
      </w:pPr>
    </w:p>
    <w:p w:rsidR="00457C6B" w:rsidRDefault="00457C6B">
      <w:pPr>
        <w:widowControl w:val="0"/>
        <w:autoSpaceDE w:val="0"/>
        <w:autoSpaceDN w:val="0"/>
        <w:adjustRightInd w:val="0"/>
        <w:rPr>
          <w:rFonts w:ascii="Arial" w:hAnsi="Arial" w:cs="Arial"/>
          <w:sz w:val="22"/>
          <w:szCs w:val="22"/>
          <w:u w:val="single"/>
        </w:rPr>
      </w:pPr>
    </w:p>
    <w:p w:rsidR="00457C6B" w:rsidRDefault="0047703E">
      <w:pPr>
        <w:widowControl w:val="0"/>
        <w:autoSpaceDE w:val="0"/>
        <w:autoSpaceDN w:val="0"/>
        <w:adjustRightInd w:val="0"/>
        <w:rPr>
          <w:rFonts w:ascii="Arial" w:hAnsi="Arial" w:cs="Arial"/>
          <w:sz w:val="22"/>
          <w:szCs w:val="22"/>
          <w:u w:val="single"/>
        </w:rPr>
      </w:pPr>
      <w:r>
        <w:rPr>
          <w:rFonts w:ascii="Arial" w:hAnsi="Arial" w:cs="Arial"/>
          <w:sz w:val="22"/>
          <w:szCs w:val="22"/>
          <w:u w:val="single"/>
        </w:rPr>
        <w:t>L’indebitamento dell’ente subisce la seguente evoluzione:</w:t>
      </w:r>
    </w:p>
    <w:p w:rsidR="00014878" w:rsidRDefault="00014878">
      <w:pPr>
        <w:widowControl w:val="0"/>
        <w:autoSpaceDE w:val="0"/>
        <w:autoSpaceDN w:val="0"/>
        <w:adjustRightInd w:val="0"/>
        <w:rPr>
          <w:rFonts w:ascii="Arial" w:hAnsi="Arial" w:cs="Arial"/>
          <w:sz w:val="22"/>
          <w:szCs w:val="22"/>
          <w:u w:val="single"/>
        </w:rPr>
      </w:pPr>
      <w:r w:rsidRPr="00824CF3">
        <w:rPr>
          <w:rFonts w:ascii="Arial" w:hAnsi="Arial" w:cs="Arial"/>
          <w:sz w:val="22"/>
          <w:szCs w:val="22"/>
          <w:u w:val="single"/>
        </w:rPr>
        <w:object w:dxaOrig="10674" w:dyaOrig="2592">
          <v:shape id="_x0000_i1056" type="#_x0000_t75" style="width:533.9pt;height:129.75pt" o:ole="">
            <v:imagedata r:id="rId84" o:title=""/>
          </v:shape>
          <o:OLEObject Type="Embed" ProgID="Excel.Sheet.8" ShapeID="_x0000_i1056" DrawAspect="Content" ObjectID="_1484374357" r:id="rId85"/>
        </w:object>
      </w:r>
    </w:p>
    <w:p w:rsidR="00457C6B" w:rsidRDefault="00457C6B">
      <w:pPr>
        <w:widowControl w:val="0"/>
        <w:autoSpaceDE w:val="0"/>
        <w:autoSpaceDN w:val="0"/>
        <w:adjustRightInd w:val="0"/>
        <w:rPr>
          <w:rFonts w:ascii="Arial" w:hAnsi="Arial" w:cs="Arial"/>
          <w:sz w:val="20"/>
          <w:u w:val="single"/>
        </w:rPr>
      </w:pPr>
    </w:p>
    <w:p w:rsidR="00457C6B" w:rsidRDefault="0047703E">
      <w:pPr>
        <w:widowControl w:val="0"/>
        <w:autoSpaceDE w:val="0"/>
        <w:autoSpaceDN w:val="0"/>
        <w:adjustRightInd w:val="0"/>
        <w:spacing w:after="60"/>
        <w:rPr>
          <w:rFonts w:ascii="Arial" w:hAnsi="Arial" w:cs="Arial"/>
          <w:sz w:val="22"/>
          <w:szCs w:val="22"/>
        </w:rPr>
      </w:pPr>
      <w:r>
        <w:rPr>
          <w:rFonts w:ascii="Arial" w:hAnsi="Arial" w:cs="Arial"/>
          <w:sz w:val="22"/>
          <w:szCs w:val="22"/>
        </w:rPr>
        <w:t xml:space="preserve">In merito all’entità del debito medio per abitante in relazione alla riduzione dello stesso prevista dal comma 3 dell’art.8, della Legge 183/2011, si ritiene </w:t>
      </w:r>
      <w:proofErr w:type="spellStart"/>
      <w:r>
        <w:rPr>
          <w:rFonts w:ascii="Arial" w:hAnsi="Arial" w:cs="Arial"/>
          <w:sz w:val="22"/>
          <w:szCs w:val="22"/>
        </w:rPr>
        <w:t>……………………</w:t>
      </w:r>
      <w:proofErr w:type="spellEnd"/>
      <w:r>
        <w:rPr>
          <w:rFonts w:ascii="Arial" w:hAnsi="Arial" w:cs="Arial"/>
          <w:sz w:val="22"/>
          <w:szCs w:val="22"/>
        </w:rPr>
        <w:t>.</w:t>
      </w:r>
    </w:p>
    <w:p w:rsidR="00457C6B" w:rsidRDefault="0047703E">
      <w:pPr>
        <w:widowControl w:val="0"/>
        <w:autoSpaceDE w:val="0"/>
        <w:autoSpaceDN w:val="0"/>
        <w:adjustRightInd w:val="0"/>
        <w:jc w:val="both"/>
        <w:rPr>
          <w:rFonts w:ascii="Arial" w:hAnsi="Arial" w:cs="Arial"/>
          <w:sz w:val="22"/>
          <w:szCs w:val="22"/>
        </w:rPr>
      </w:pPr>
      <w:r>
        <w:rPr>
          <w:rFonts w:ascii="Arial" w:hAnsi="Arial" w:cs="Arial"/>
          <w:sz w:val="22"/>
          <w:szCs w:val="22"/>
        </w:rPr>
        <w:t>Gli oneri finanziari per ammortamento prestiti ed il rimborso degli stessi in conto capitale registra la seguente evoluzione:</w:t>
      </w:r>
    </w:p>
    <w:p w:rsidR="00AC22B5" w:rsidRDefault="00AC22B5">
      <w:pPr>
        <w:widowControl w:val="0"/>
        <w:autoSpaceDE w:val="0"/>
        <w:autoSpaceDN w:val="0"/>
        <w:adjustRightInd w:val="0"/>
        <w:jc w:val="both"/>
        <w:rPr>
          <w:rFonts w:ascii="Arial" w:hAnsi="Arial" w:cs="Arial"/>
          <w:sz w:val="22"/>
          <w:szCs w:val="22"/>
        </w:rPr>
      </w:pPr>
      <w:r w:rsidRPr="00B771D5">
        <w:rPr>
          <w:rFonts w:ascii="Arial" w:hAnsi="Arial" w:cs="Arial"/>
          <w:sz w:val="22"/>
          <w:szCs w:val="22"/>
        </w:rPr>
        <w:object w:dxaOrig="10551" w:dyaOrig="1412">
          <v:shape id="_x0000_i1057" type="#_x0000_t75" style="width:527.75pt;height:70.65pt" o:ole="">
            <v:imagedata r:id="rId86" o:title=""/>
          </v:shape>
          <o:OLEObject Type="Embed" ProgID="Excel.Sheet.8" ShapeID="_x0000_i1057" DrawAspect="Content" ObjectID="_1484374358" r:id="rId87"/>
        </w:object>
      </w:r>
    </w:p>
    <w:p w:rsidR="00FB57D0" w:rsidRDefault="00FB57D0">
      <w:pPr>
        <w:widowControl w:val="0"/>
        <w:autoSpaceDE w:val="0"/>
        <w:autoSpaceDN w:val="0"/>
        <w:adjustRightInd w:val="0"/>
        <w:jc w:val="both"/>
        <w:rPr>
          <w:rFonts w:ascii="Arial" w:hAnsi="Arial" w:cs="Arial"/>
          <w:sz w:val="22"/>
          <w:szCs w:val="22"/>
        </w:rPr>
      </w:pPr>
    </w:p>
    <w:p w:rsidR="00457C6B" w:rsidRDefault="00457C6B">
      <w:pPr>
        <w:widowControl w:val="0"/>
        <w:autoSpaceDE w:val="0"/>
        <w:autoSpaceDN w:val="0"/>
        <w:adjustRightInd w:val="0"/>
        <w:jc w:val="both"/>
        <w:rPr>
          <w:rFonts w:ascii="Arial" w:hAnsi="Arial" w:cs="Arial"/>
          <w:sz w:val="22"/>
          <w:szCs w:val="22"/>
        </w:rPr>
      </w:pPr>
    </w:p>
    <w:p w:rsidR="00457C6B" w:rsidRDefault="0047703E">
      <w:pPr>
        <w:jc w:val="both"/>
        <w:rPr>
          <w:rFonts w:ascii="Arial" w:hAnsi="Arial" w:cs="Arial"/>
          <w:b/>
          <w:sz w:val="20"/>
          <w:szCs w:val="20"/>
        </w:rPr>
      </w:pPr>
      <w:r>
        <w:br w:type="page"/>
      </w:r>
      <w:r>
        <w:rPr>
          <w:rFonts w:ascii="Arial" w:hAnsi="Arial" w:cs="Arial"/>
          <w:b/>
          <w:sz w:val="20"/>
          <w:szCs w:val="20"/>
        </w:rPr>
        <w:lastRenderedPageBreak/>
        <w:t xml:space="preserve"> </w:t>
      </w:r>
    </w:p>
    <w:p w:rsidR="00457C6B" w:rsidRDefault="0047703E">
      <w:pPr>
        <w:pStyle w:val="Titolo3"/>
        <w:rPr>
          <w:szCs w:val="22"/>
        </w:rPr>
      </w:pPr>
      <w:r>
        <w:rPr>
          <w:szCs w:val="22"/>
        </w:rPr>
        <w:t>Anticipazioni di liquidità Cassa Depositi e Prestiti per paga debiti</w:t>
      </w:r>
    </w:p>
    <w:p w:rsidR="00457C6B" w:rsidRDefault="0047703E">
      <w:pPr>
        <w:jc w:val="both"/>
        <w:rPr>
          <w:rFonts w:ascii="Arial" w:hAnsi="Arial" w:cs="Arial"/>
          <w:sz w:val="22"/>
          <w:szCs w:val="22"/>
        </w:rPr>
      </w:pPr>
      <w:r>
        <w:rPr>
          <w:rFonts w:ascii="Arial" w:hAnsi="Arial" w:cs="Arial"/>
          <w:sz w:val="22"/>
          <w:szCs w:val="22"/>
        </w:rPr>
        <w:t xml:space="preserve">L’ente per far fronte ai pagamenti dei debiti certi liquidi ed esigibili maturati alla data del 31/12/2012, a causa della carenza di liquidità ha richiesto alla Cassa Depositi e Prestiti Spa, ai sensi del comma 13 dell’art.1 del D.L. 35/2012, in deroga agli articoli 42, 203 e 204 del </w:t>
      </w:r>
      <w:proofErr w:type="spellStart"/>
      <w:r>
        <w:rPr>
          <w:rFonts w:ascii="Arial" w:hAnsi="Arial" w:cs="Arial"/>
          <w:sz w:val="22"/>
          <w:szCs w:val="22"/>
        </w:rPr>
        <w:t>Tuel</w:t>
      </w:r>
      <w:proofErr w:type="spellEnd"/>
      <w:r>
        <w:rPr>
          <w:rFonts w:ascii="Arial" w:hAnsi="Arial" w:cs="Arial"/>
          <w:sz w:val="22"/>
          <w:szCs w:val="22"/>
        </w:rPr>
        <w:t xml:space="preserve">, un anticipazione di liquidità di euro </w:t>
      </w:r>
      <w:proofErr w:type="spellStart"/>
      <w:r>
        <w:rPr>
          <w:rFonts w:ascii="Arial" w:hAnsi="Arial" w:cs="Arial"/>
          <w:sz w:val="22"/>
          <w:szCs w:val="22"/>
        </w:rPr>
        <w:t>……………………</w:t>
      </w:r>
      <w:proofErr w:type="spellEnd"/>
      <w:r>
        <w:rPr>
          <w:rFonts w:ascii="Arial" w:hAnsi="Arial" w:cs="Arial"/>
          <w:sz w:val="22"/>
          <w:szCs w:val="22"/>
        </w:rPr>
        <w:t xml:space="preserve">. da restituire a rate costanti comprensive di capitale ed interessi per un periodo di anni </w:t>
      </w:r>
      <w:proofErr w:type="spellStart"/>
      <w:r>
        <w:rPr>
          <w:rFonts w:ascii="Arial" w:hAnsi="Arial" w:cs="Arial"/>
          <w:sz w:val="22"/>
          <w:szCs w:val="22"/>
        </w:rPr>
        <w:t>…………</w:t>
      </w:r>
      <w:proofErr w:type="spellEnd"/>
      <w:r>
        <w:rPr>
          <w:rFonts w:ascii="Arial" w:hAnsi="Arial" w:cs="Arial"/>
          <w:sz w:val="22"/>
          <w:szCs w:val="22"/>
        </w:rPr>
        <w:t>..</w:t>
      </w:r>
    </w:p>
    <w:p w:rsidR="00457C6B" w:rsidRDefault="0047703E">
      <w:pPr>
        <w:jc w:val="both"/>
        <w:rPr>
          <w:rFonts w:ascii="Arial" w:hAnsi="Arial" w:cs="Arial"/>
          <w:sz w:val="22"/>
          <w:szCs w:val="22"/>
        </w:rPr>
      </w:pPr>
      <w:r>
        <w:rPr>
          <w:rFonts w:ascii="Arial" w:hAnsi="Arial" w:cs="Arial"/>
          <w:sz w:val="22"/>
          <w:szCs w:val="22"/>
        </w:rPr>
        <w:t xml:space="preserve">La rata annuale da corrispondere dalla scadenza annuale successiva alla data di erogazione dell’anticipazione è prevista in bilancio per </w:t>
      </w:r>
      <w:proofErr w:type="spellStart"/>
      <w:r>
        <w:rPr>
          <w:rFonts w:ascii="Arial" w:hAnsi="Arial" w:cs="Arial"/>
          <w:sz w:val="22"/>
          <w:szCs w:val="22"/>
        </w:rPr>
        <w:t>euro……………………</w:t>
      </w:r>
      <w:proofErr w:type="spellEnd"/>
      <w:r>
        <w:rPr>
          <w:rFonts w:ascii="Arial" w:hAnsi="Arial" w:cs="Arial"/>
          <w:sz w:val="22"/>
          <w:szCs w:val="22"/>
        </w:rPr>
        <w:t>..</w:t>
      </w:r>
    </w:p>
    <w:p w:rsidR="00457C6B" w:rsidRDefault="00457C6B"/>
    <w:p w:rsidR="00457C6B" w:rsidRDefault="0047703E">
      <w:pPr>
        <w:pStyle w:val="Titolo3"/>
      </w:pPr>
      <w:r>
        <w:t>STRUMENTI FINANZIARI ANCHE DERIVATI</w:t>
      </w:r>
    </w:p>
    <w:p w:rsidR="00457C6B" w:rsidRDefault="0047703E">
      <w:pPr>
        <w:jc w:val="both"/>
        <w:rPr>
          <w:rFonts w:ascii="Arial" w:hAnsi="Arial" w:cs="Arial"/>
          <w:sz w:val="22"/>
          <w:szCs w:val="22"/>
        </w:rPr>
      </w:pPr>
      <w:r>
        <w:rPr>
          <w:rFonts w:ascii="Arial" w:hAnsi="Arial" w:cs="Arial"/>
          <w:sz w:val="22"/>
          <w:szCs w:val="22"/>
        </w:rPr>
        <w:t xml:space="preserve">L’ente ha in corso i seguenti contratti relativi a strumenti finanziari anche derivati che hanno un valore complessivo di estinzione, indicato dall’istituto di credito contraente valutato alla data del  </w:t>
      </w:r>
      <w:proofErr w:type="spellStart"/>
      <w:r>
        <w:rPr>
          <w:rFonts w:ascii="Arial" w:hAnsi="Arial" w:cs="Arial"/>
          <w:sz w:val="22"/>
          <w:szCs w:val="22"/>
        </w:rPr>
        <w:t>………</w:t>
      </w:r>
      <w:proofErr w:type="spellEnd"/>
      <w:r>
        <w:rPr>
          <w:rFonts w:ascii="Arial" w:hAnsi="Arial" w:cs="Arial"/>
          <w:sz w:val="22"/>
          <w:szCs w:val="22"/>
        </w:rPr>
        <w:t xml:space="preserve">.. di euro </w:t>
      </w:r>
      <w:proofErr w:type="spellStart"/>
      <w:r>
        <w:rPr>
          <w:rFonts w:ascii="Arial" w:hAnsi="Arial" w:cs="Arial"/>
          <w:sz w:val="22"/>
          <w:szCs w:val="22"/>
        </w:rPr>
        <w:t>……………………………….…</w:t>
      </w:r>
      <w:proofErr w:type="spellEnd"/>
      <w:r>
        <w:rPr>
          <w:rFonts w:ascii="Arial" w:hAnsi="Arial" w:cs="Arial"/>
          <w:sz w:val="22"/>
          <w:szCs w:val="22"/>
        </w:rPr>
        <w:t>..</w:t>
      </w:r>
    </w:p>
    <w:p w:rsidR="00457C6B" w:rsidRDefault="0047703E">
      <w:pPr>
        <w:jc w:val="both"/>
        <w:rPr>
          <w:rFonts w:ascii="Arial" w:hAnsi="Arial" w:cs="Arial"/>
          <w:sz w:val="22"/>
          <w:szCs w:val="22"/>
        </w:rPr>
      </w:pPr>
      <w:r>
        <w:rPr>
          <w:rFonts w:ascii="Arial" w:hAnsi="Arial" w:cs="Arial"/>
          <w:sz w:val="22"/>
          <w:szCs w:val="22"/>
        </w:rPr>
        <w:t>Dalla nota allegata al bilancio ai sensi dell’art. 62, comma 8 della Legge 133/2008, risultano previsti i seguenti  impegni finanziari derivanti da tali contratti:</w:t>
      </w:r>
    </w:p>
    <w:p w:rsidR="00457C6B" w:rsidRDefault="0047703E">
      <w:pPr>
        <w:numPr>
          <w:ilvl w:val="0"/>
          <w:numId w:val="23"/>
        </w:numPr>
        <w:jc w:val="both"/>
        <w:rPr>
          <w:rFonts w:ascii="Arial" w:hAnsi="Arial" w:cs="Arial"/>
          <w:sz w:val="22"/>
          <w:szCs w:val="22"/>
        </w:rPr>
      </w:pPr>
      <w:r>
        <w:rPr>
          <w:rFonts w:ascii="Arial" w:hAnsi="Arial" w:cs="Arial"/>
          <w:sz w:val="22"/>
          <w:szCs w:val="22"/>
        </w:rPr>
        <w:t>contratto n. …..</w:t>
      </w:r>
    </w:p>
    <w:p w:rsidR="00457C6B" w:rsidRDefault="0047703E">
      <w:pPr>
        <w:numPr>
          <w:ilvl w:val="0"/>
          <w:numId w:val="23"/>
        </w:numPr>
        <w:jc w:val="both"/>
        <w:rPr>
          <w:rFonts w:ascii="Arial" w:hAnsi="Arial" w:cs="Arial"/>
          <w:sz w:val="22"/>
          <w:szCs w:val="22"/>
        </w:rPr>
      </w:pPr>
      <w:r>
        <w:rPr>
          <w:rFonts w:ascii="Arial" w:hAnsi="Arial" w:cs="Arial"/>
          <w:sz w:val="22"/>
          <w:szCs w:val="22"/>
        </w:rPr>
        <w:t>inizio contratto</w:t>
      </w:r>
    </w:p>
    <w:p w:rsidR="00457C6B" w:rsidRDefault="0047703E">
      <w:pPr>
        <w:numPr>
          <w:ilvl w:val="0"/>
          <w:numId w:val="23"/>
        </w:numPr>
        <w:jc w:val="both"/>
        <w:rPr>
          <w:rFonts w:ascii="Arial" w:hAnsi="Arial" w:cs="Arial"/>
          <w:sz w:val="22"/>
          <w:szCs w:val="22"/>
        </w:rPr>
      </w:pPr>
      <w:r>
        <w:rPr>
          <w:rFonts w:ascii="Arial" w:hAnsi="Arial" w:cs="Arial"/>
          <w:sz w:val="22"/>
          <w:szCs w:val="22"/>
        </w:rPr>
        <w:t>termine contratto</w:t>
      </w:r>
    </w:p>
    <w:p w:rsidR="00457C6B" w:rsidRDefault="0047703E">
      <w:pPr>
        <w:numPr>
          <w:ilvl w:val="0"/>
          <w:numId w:val="23"/>
        </w:numPr>
        <w:jc w:val="both"/>
        <w:rPr>
          <w:rFonts w:ascii="Arial" w:hAnsi="Arial" w:cs="Arial"/>
          <w:sz w:val="22"/>
          <w:szCs w:val="22"/>
        </w:rPr>
      </w:pPr>
      <w:r>
        <w:rPr>
          <w:rFonts w:ascii="Arial" w:hAnsi="Arial" w:cs="Arial"/>
          <w:sz w:val="22"/>
          <w:szCs w:val="22"/>
        </w:rPr>
        <w:t>importo impegni finanziari previsti per l’anno 2014</w:t>
      </w:r>
    </w:p>
    <w:p w:rsidR="00457C6B" w:rsidRDefault="0047703E">
      <w:pPr>
        <w:numPr>
          <w:ilvl w:val="0"/>
          <w:numId w:val="23"/>
        </w:numPr>
        <w:jc w:val="both"/>
        <w:rPr>
          <w:rFonts w:ascii="Arial" w:hAnsi="Arial" w:cs="Arial"/>
          <w:sz w:val="22"/>
          <w:szCs w:val="22"/>
        </w:rPr>
      </w:pPr>
      <w:r>
        <w:rPr>
          <w:rFonts w:ascii="Arial" w:hAnsi="Arial" w:cs="Arial"/>
          <w:sz w:val="22"/>
          <w:szCs w:val="22"/>
        </w:rPr>
        <w:t xml:space="preserve">valore complessivo estinzione anticipata al </w:t>
      </w:r>
      <w:proofErr w:type="spellStart"/>
      <w:r>
        <w:rPr>
          <w:rFonts w:ascii="Arial" w:hAnsi="Arial" w:cs="Arial"/>
          <w:sz w:val="22"/>
          <w:szCs w:val="22"/>
        </w:rPr>
        <w:t>………………</w:t>
      </w:r>
      <w:proofErr w:type="spellEnd"/>
      <w:r>
        <w:rPr>
          <w:rFonts w:ascii="Arial" w:hAnsi="Arial" w:cs="Arial"/>
          <w:sz w:val="22"/>
          <w:szCs w:val="22"/>
        </w:rPr>
        <w:t>.</w:t>
      </w:r>
    </w:p>
    <w:p w:rsidR="00457C6B" w:rsidRDefault="0047703E">
      <w:pPr>
        <w:numPr>
          <w:ilvl w:val="0"/>
          <w:numId w:val="23"/>
        </w:numPr>
        <w:jc w:val="both"/>
        <w:rPr>
          <w:rFonts w:ascii="Arial" w:hAnsi="Arial" w:cs="Arial"/>
          <w:sz w:val="22"/>
          <w:szCs w:val="22"/>
        </w:rPr>
      </w:pPr>
      <w:r>
        <w:rPr>
          <w:rFonts w:ascii="Arial" w:hAnsi="Arial" w:cs="Arial"/>
          <w:sz w:val="22"/>
          <w:szCs w:val="22"/>
        </w:rPr>
        <w:t>possibilità di estinzione anticipata (</w:t>
      </w:r>
      <w:r>
        <w:rPr>
          <w:rFonts w:ascii="Arial" w:hAnsi="Arial" w:cs="Arial"/>
          <w:b/>
          <w:color w:val="0070C0"/>
          <w:sz w:val="22"/>
          <w:szCs w:val="22"/>
        </w:rPr>
        <w:t>si/no</w:t>
      </w:r>
      <w:r>
        <w:rPr>
          <w:rFonts w:ascii="Arial" w:hAnsi="Arial" w:cs="Arial"/>
          <w:sz w:val="22"/>
          <w:szCs w:val="22"/>
        </w:rPr>
        <w:t>)</w:t>
      </w:r>
    </w:p>
    <w:p w:rsidR="00457C6B" w:rsidRDefault="0047703E">
      <w:pPr>
        <w:numPr>
          <w:ilvl w:val="0"/>
          <w:numId w:val="23"/>
        </w:numPr>
        <w:jc w:val="both"/>
        <w:rPr>
          <w:rFonts w:ascii="Arial" w:hAnsi="Arial" w:cs="Arial"/>
          <w:sz w:val="22"/>
          <w:szCs w:val="22"/>
        </w:rPr>
      </w:pPr>
      <w:r>
        <w:rPr>
          <w:rFonts w:ascii="Arial" w:hAnsi="Arial" w:cs="Arial"/>
          <w:sz w:val="22"/>
          <w:szCs w:val="22"/>
        </w:rPr>
        <w:t>condizione e penali per estinzione anticipata</w:t>
      </w:r>
    </w:p>
    <w:p w:rsidR="00457C6B" w:rsidRDefault="0047703E">
      <w:pPr>
        <w:numPr>
          <w:ilvl w:val="0"/>
          <w:numId w:val="23"/>
        </w:numPr>
        <w:jc w:val="both"/>
        <w:rPr>
          <w:rFonts w:ascii="Arial" w:hAnsi="Arial" w:cs="Arial"/>
          <w:sz w:val="22"/>
          <w:szCs w:val="22"/>
        </w:rPr>
      </w:pPr>
      <w:r>
        <w:rPr>
          <w:rFonts w:ascii="Arial" w:hAnsi="Arial" w:cs="Arial"/>
          <w:sz w:val="22"/>
          <w:szCs w:val="22"/>
        </w:rPr>
        <w:t>ammontare delle passività totali sottostanti oggetto di copertura;</w:t>
      </w:r>
    </w:p>
    <w:p w:rsidR="00457C6B" w:rsidRDefault="0047703E">
      <w:pPr>
        <w:numPr>
          <w:ilvl w:val="0"/>
          <w:numId w:val="24"/>
        </w:numPr>
        <w:jc w:val="both"/>
        <w:rPr>
          <w:rFonts w:ascii="Arial" w:hAnsi="Arial" w:cs="Arial"/>
          <w:sz w:val="22"/>
          <w:szCs w:val="22"/>
        </w:rPr>
      </w:pPr>
      <w:r>
        <w:rPr>
          <w:rFonts w:ascii="Arial" w:hAnsi="Arial" w:cs="Arial"/>
          <w:sz w:val="22"/>
          <w:szCs w:val="22"/>
        </w:rPr>
        <w:t>mediante contratti con swap di tasso di interesse</w:t>
      </w:r>
    </w:p>
    <w:p w:rsidR="00457C6B" w:rsidRDefault="0047703E">
      <w:pPr>
        <w:numPr>
          <w:ilvl w:val="0"/>
          <w:numId w:val="24"/>
        </w:numPr>
        <w:jc w:val="both"/>
        <w:rPr>
          <w:rFonts w:ascii="Arial" w:hAnsi="Arial" w:cs="Arial"/>
          <w:sz w:val="22"/>
          <w:szCs w:val="22"/>
        </w:rPr>
      </w:pPr>
      <w:r>
        <w:rPr>
          <w:rFonts w:ascii="Arial" w:hAnsi="Arial" w:cs="Arial"/>
          <w:sz w:val="22"/>
          <w:szCs w:val="22"/>
        </w:rPr>
        <w:t>mediante altre forme contrattuali.</w:t>
      </w:r>
    </w:p>
    <w:p w:rsidR="00457C6B" w:rsidRDefault="00457C6B">
      <w:pPr>
        <w:ind w:left="360"/>
        <w:jc w:val="both"/>
        <w:rPr>
          <w:rFonts w:ascii="Arial" w:hAnsi="Arial" w:cs="Arial"/>
          <w:sz w:val="20"/>
        </w:rPr>
      </w:pPr>
    </w:p>
    <w:p w:rsidR="00457C6B" w:rsidRDefault="0047703E">
      <w:pPr>
        <w:spacing w:after="120"/>
        <w:jc w:val="both"/>
        <w:rPr>
          <w:rFonts w:ascii="Arial" w:hAnsi="Arial" w:cs="Arial"/>
          <w:color w:val="0000FF"/>
          <w:sz w:val="20"/>
          <w:szCs w:val="20"/>
        </w:rPr>
      </w:pPr>
      <w:r>
        <w:rPr>
          <w:rFonts w:ascii="Arial" w:hAnsi="Arial" w:cs="Arial"/>
          <w:sz w:val="22"/>
          <w:szCs w:val="22"/>
        </w:rPr>
        <w:t>I flussi, positivi e negativi, originati dai contratti di finanza</w:t>
      </w:r>
      <w:r>
        <w:rPr>
          <w:rFonts w:ascii="Arial" w:hAnsi="Arial" w:cs="Arial"/>
          <w:sz w:val="20"/>
          <w:szCs w:val="20"/>
        </w:rPr>
        <w:t xml:space="preserve"> </w:t>
      </w:r>
      <w:r>
        <w:rPr>
          <w:rFonts w:ascii="Arial" w:hAnsi="Arial" w:cs="Arial"/>
          <w:sz w:val="22"/>
          <w:szCs w:val="22"/>
        </w:rPr>
        <w:t>derivata</w:t>
      </w:r>
      <w:r>
        <w:rPr>
          <w:rFonts w:ascii="Arial" w:hAnsi="Arial" w:cs="Arial"/>
          <w:sz w:val="20"/>
          <w:szCs w:val="20"/>
        </w:rPr>
        <w:t xml:space="preserve"> </w:t>
      </w:r>
      <w:r>
        <w:rPr>
          <w:rFonts w:ascii="Arial" w:hAnsi="Arial" w:cs="Arial"/>
          <w:color w:val="0000FF"/>
          <w:sz w:val="20"/>
          <w:szCs w:val="20"/>
        </w:rPr>
        <w:t>(la tabella deve essere ripetuta separatamente in relazione a ciascun contratto, indicando i dati rilevati dal consuntivo sino all'esercizio 2013,dalla previsione definitiva 2014 ( o rendiconto 2014) e quelli dal bilancio pluriennale a partire dall'esercizio 2015).</w:t>
      </w:r>
    </w:p>
    <w:p w:rsidR="00FB57D0" w:rsidRDefault="00FB57D0">
      <w:pPr>
        <w:spacing w:after="120"/>
        <w:jc w:val="both"/>
        <w:rPr>
          <w:rFonts w:ascii="Arial" w:hAnsi="Arial" w:cs="Arial"/>
          <w:i/>
          <w:color w:val="0070C0"/>
          <w:sz w:val="20"/>
          <w:szCs w:val="20"/>
        </w:rPr>
      </w:pPr>
    </w:p>
    <w:tbl>
      <w:tblPr>
        <w:tblW w:w="9300" w:type="dxa"/>
        <w:tblInd w:w="55" w:type="dxa"/>
        <w:tblCellMar>
          <w:left w:w="70" w:type="dxa"/>
          <w:right w:w="70" w:type="dxa"/>
        </w:tblCellMar>
        <w:tblLook w:val="00A0"/>
      </w:tblPr>
      <w:tblGrid>
        <w:gridCol w:w="1860"/>
        <w:gridCol w:w="1860"/>
        <w:gridCol w:w="1860"/>
        <w:gridCol w:w="1860"/>
        <w:gridCol w:w="1860"/>
      </w:tblGrid>
      <w:tr w:rsidR="00457C6B" w:rsidRPr="00945619">
        <w:trPr>
          <w:trHeight w:val="300"/>
        </w:trPr>
        <w:tc>
          <w:tcPr>
            <w:tcW w:w="1860" w:type="dxa"/>
            <w:tcBorders>
              <w:top w:val="single" w:sz="4" w:space="0" w:color="auto"/>
              <w:left w:val="single" w:sz="4" w:space="0" w:color="auto"/>
              <w:bottom w:val="nil"/>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Tipo operazione &gt;</w:t>
            </w:r>
          </w:p>
        </w:tc>
        <w:tc>
          <w:tcPr>
            <w:tcW w:w="3720" w:type="dxa"/>
            <w:gridSpan w:val="2"/>
            <w:tcBorders>
              <w:top w:val="single" w:sz="4" w:space="0" w:color="auto"/>
              <w:left w:val="nil"/>
              <w:bottom w:val="nil"/>
              <w:right w:val="single" w:sz="4" w:space="0" w:color="auto"/>
            </w:tcBorders>
            <w:noWrap/>
            <w:vAlign w:val="bottom"/>
          </w:tcPr>
          <w:p w:rsidR="00457C6B" w:rsidRPr="00945619" w:rsidRDefault="0047703E">
            <w:pP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single" w:sz="4" w:space="0" w:color="auto"/>
              <w:left w:val="nil"/>
              <w:bottom w:val="nil"/>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Data stipula &gt;</w:t>
            </w:r>
          </w:p>
        </w:tc>
        <w:tc>
          <w:tcPr>
            <w:tcW w:w="1860" w:type="dxa"/>
            <w:tcBorders>
              <w:top w:val="single" w:sz="4" w:space="0" w:color="auto"/>
              <w:left w:val="nil"/>
              <w:bottom w:val="nil"/>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r>
      <w:tr w:rsidR="00457C6B" w:rsidRPr="00945619">
        <w:trPr>
          <w:trHeight w:val="300"/>
        </w:trPr>
        <w:tc>
          <w:tcPr>
            <w:tcW w:w="1860" w:type="dxa"/>
            <w:tcBorders>
              <w:top w:val="single" w:sz="8" w:space="0" w:color="auto"/>
              <w:left w:val="single" w:sz="8" w:space="0" w:color="auto"/>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Flussi positivi</w:t>
            </w:r>
          </w:p>
        </w:tc>
        <w:tc>
          <w:tcPr>
            <w:tcW w:w="1860" w:type="dxa"/>
            <w:tcBorders>
              <w:top w:val="single" w:sz="8" w:space="0" w:color="auto"/>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Importo</w:t>
            </w:r>
          </w:p>
        </w:tc>
        <w:tc>
          <w:tcPr>
            <w:tcW w:w="1860" w:type="dxa"/>
            <w:tcBorders>
              <w:top w:val="single" w:sz="8" w:space="0" w:color="auto"/>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Iscrizione entrata</w:t>
            </w:r>
          </w:p>
        </w:tc>
        <w:tc>
          <w:tcPr>
            <w:tcW w:w="1860" w:type="dxa"/>
            <w:tcBorders>
              <w:top w:val="single" w:sz="8" w:space="0" w:color="auto"/>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Destinazione spesa</w:t>
            </w:r>
          </w:p>
        </w:tc>
        <w:tc>
          <w:tcPr>
            <w:tcW w:w="1860" w:type="dxa"/>
            <w:tcBorders>
              <w:top w:val="single" w:sz="8" w:space="0" w:color="auto"/>
              <w:left w:val="nil"/>
              <w:bottom w:val="single" w:sz="4" w:space="0" w:color="auto"/>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Flussi negativi</w:t>
            </w:r>
          </w:p>
        </w:tc>
      </w:tr>
      <w:tr w:rsidR="00457C6B" w:rsidRPr="00945619">
        <w:trPr>
          <w:trHeight w:val="300"/>
        </w:trPr>
        <w:tc>
          <w:tcPr>
            <w:tcW w:w="1860" w:type="dxa"/>
            <w:tcBorders>
              <w:top w:val="nil"/>
              <w:left w:val="single" w:sz="8" w:space="0" w:color="auto"/>
              <w:bottom w:val="single" w:sz="4" w:space="0" w:color="auto"/>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2013</w:t>
            </w:r>
          </w:p>
        </w:tc>
        <w:tc>
          <w:tcPr>
            <w:tcW w:w="1860" w:type="dxa"/>
            <w:tcBorders>
              <w:top w:val="nil"/>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nil"/>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IV Entrata</w:t>
            </w:r>
          </w:p>
        </w:tc>
        <w:tc>
          <w:tcPr>
            <w:tcW w:w="1860" w:type="dxa"/>
            <w:tcBorders>
              <w:top w:val="nil"/>
              <w:left w:val="single" w:sz="4" w:space="0" w:color="auto"/>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 Spesa</w:t>
            </w:r>
          </w:p>
        </w:tc>
        <w:tc>
          <w:tcPr>
            <w:tcW w:w="1860" w:type="dxa"/>
            <w:tcBorders>
              <w:top w:val="nil"/>
              <w:left w:val="nil"/>
              <w:bottom w:val="single" w:sz="4" w:space="0" w:color="auto"/>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r w:rsidR="00457C6B" w:rsidRPr="00945619">
        <w:trPr>
          <w:trHeight w:val="300"/>
        </w:trPr>
        <w:tc>
          <w:tcPr>
            <w:tcW w:w="1860" w:type="dxa"/>
            <w:tcBorders>
              <w:top w:val="nil"/>
              <w:left w:val="single" w:sz="8" w:space="0" w:color="auto"/>
              <w:bottom w:val="single" w:sz="4" w:space="0" w:color="auto"/>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2014</w:t>
            </w:r>
          </w:p>
        </w:tc>
        <w:tc>
          <w:tcPr>
            <w:tcW w:w="1860" w:type="dxa"/>
            <w:tcBorders>
              <w:top w:val="nil"/>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nil"/>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IV Entrata</w:t>
            </w:r>
          </w:p>
        </w:tc>
        <w:tc>
          <w:tcPr>
            <w:tcW w:w="1860" w:type="dxa"/>
            <w:tcBorders>
              <w:top w:val="nil"/>
              <w:left w:val="single" w:sz="4" w:space="0" w:color="auto"/>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 Spesa</w:t>
            </w:r>
          </w:p>
        </w:tc>
        <w:tc>
          <w:tcPr>
            <w:tcW w:w="1860" w:type="dxa"/>
            <w:tcBorders>
              <w:top w:val="nil"/>
              <w:left w:val="nil"/>
              <w:bottom w:val="single" w:sz="4" w:space="0" w:color="auto"/>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r w:rsidR="00457C6B" w:rsidRPr="00945619">
        <w:trPr>
          <w:trHeight w:val="315"/>
        </w:trPr>
        <w:tc>
          <w:tcPr>
            <w:tcW w:w="1860" w:type="dxa"/>
            <w:tcBorders>
              <w:top w:val="nil"/>
              <w:left w:val="single" w:sz="8" w:space="0" w:color="auto"/>
              <w:bottom w:val="single" w:sz="4" w:space="0" w:color="auto"/>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2015</w:t>
            </w:r>
          </w:p>
        </w:tc>
        <w:tc>
          <w:tcPr>
            <w:tcW w:w="1860" w:type="dxa"/>
            <w:tcBorders>
              <w:top w:val="nil"/>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nil"/>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IV Entrata</w:t>
            </w:r>
          </w:p>
        </w:tc>
        <w:tc>
          <w:tcPr>
            <w:tcW w:w="1860" w:type="dxa"/>
            <w:tcBorders>
              <w:top w:val="nil"/>
              <w:left w:val="single" w:sz="4" w:space="0" w:color="auto"/>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 Spesa</w:t>
            </w:r>
          </w:p>
        </w:tc>
        <w:tc>
          <w:tcPr>
            <w:tcW w:w="1860" w:type="dxa"/>
            <w:tcBorders>
              <w:top w:val="nil"/>
              <w:left w:val="nil"/>
              <w:bottom w:val="single" w:sz="4" w:space="0" w:color="auto"/>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r w:rsidR="00457C6B" w:rsidRPr="00945619">
        <w:trPr>
          <w:trHeight w:val="300"/>
        </w:trPr>
        <w:tc>
          <w:tcPr>
            <w:tcW w:w="1860" w:type="dxa"/>
            <w:tcBorders>
              <w:top w:val="nil"/>
              <w:left w:val="single" w:sz="8" w:space="0" w:color="auto"/>
              <w:bottom w:val="single" w:sz="4" w:space="0" w:color="auto"/>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2016</w:t>
            </w:r>
          </w:p>
        </w:tc>
        <w:tc>
          <w:tcPr>
            <w:tcW w:w="1860" w:type="dxa"/>
            <w:tcBorders>
              <w:top w:val="nil"/>
              <w:left w:val="nil"/>
              <w:bottom w:val="single" w:sz="4" w:space="0" w:color="auto"/>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nil"/>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IV Entrata</w:t>
            </w:r>
          </w:p>
        </w:tc>
        <w:tc>
          <w:tcPr>
            <w:tcW w:w="1860" w:type="dxa"/>
            <w:tcBorders>
              <w:top w:val="nil"/>
              <w:left w:val="single" w:sz="4" w:space="0" w:color="auto"/>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 Spesa</w:t>
            </w:r>
          </w:p>
        </w:tc>
        <w:tc>
          <w:tcPr>
            <w:tcW w:w="1860" w:type="dxa"/>
            <w:tcBorders>
              <w:top w:val="nil"/>
              <w:left w:val="nil"/>
              <w:bottom w:val="single" w:sz="4" w:space="0" w:color="auto"/>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r w:rsidR="00457C6B" w:rsidRPr="00945619">
        <w:trPr>
          <w:trHeight w:val="315"/>
        </w:trPr>
        <w:tc>
          <w:tcPr>
            <w:tcW w:w="1860" w:type="dxa"/>
            <w:tcBorders>
              <w:top w:val="nil"/>
              <w:left w:val="single" w:sz="8" w:space="0" w:color="auto"/>
              <w:bottom w:val="single" w:sz="4" w:space="0" w:color="auto"/>
              <w:right w:val="single" w:sz="4" w:space="0" w:color="auto"/>
            </w:tcBorders>
            <w:noWrap/>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2017</w:t>
            </w:r>
          </w:p>
        </w:tc>
        <w:tc>
          <w:tcPr>
            <w:tcW w:w="1860" w:type="dxa"/>
            <w:tcBorders>
              <w:top w:val="nil"/>
              <w:left w:val="nil"/>
              <w:bottom w:val="nil"/>
              <w:right w:val="single" w:sz="4"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nil"/>
              <w:left w:val="nil"/>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IV Entrata</w:t>
            </w:r>
          </w:p>
        </w:tc>
        <w:tc>
          <w:tcPr>
            <w:tcW w:w="1860" w:type="dxa"/>
            <w:tcBorders>
              <w:top w:val="nil"/>
              <w:left w:val="single" w:sz="4" w:space="0" w:color="auto"/>
              <w:bottom w:val="single" w:sz="4" w:space="0" w:color="auto"/>
              <w:right w:val="single" w:sz="8" w:space="0" w:color="auto"/>
            </w:tcBorders>
            <w:vAlign w:val="bottom"/>
          </w:tcPr>
          <w:p w:rsidR="00457C6B" w:rsidRPr="00945619" w:rsidRDefault="0047703E">
            <w:pPr>
              <w:jc w:val="center"/>
              <w:rPr>
                <w:rFonts w:ascii="Arial" w:hAnsi="Arial" w:cs="Arial"/>
                <w:color w:val="000000"/>
                <w:sz w:val="20"/>
                <w:szCs w:val="20"/>
              </w:rPr>
            </w:pPr>
            <w:r w:rsidRPr="00945619">
              <w:rPr>
                <w:rFonts w:ascii="Arial" w:hAnsi="Arial" w:cs="Arial"/>
                <w:color w:val="000000"/>
                <w:sz w:val="20"/>
                <w:szCs w:val="20"/>
              </w:rPr>
              <w:t>Tit. I Spesa</w:t>
            </w:r>
          </w:p>
        </w:tc>
        <w:tc>
          <w:tcPr>
            <w:tcW w:w="1860" w:type="dxa"/>
            <w:tcBorders>
              <w:top w:val="nil"/>
              <w:left w:val="nil"/>
              <w:bottom w:val="nil"/>
              <w:right w:val="single" w:sz="8" w:space="0" w:color="auto"/>
            </w:tcBorders>
            <w:shd w:val="clear" w:color="000000" w:fill="C0C0C0"/>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r w:rsidR="00457C6B">
        <w:trPr>
          <w:trHeight w:val="315"/>
        </w:trPr>
        <w:tc>
          <w:tcPr>
            <w:tcW w:w="3720" w:type="dxa"/>
            <w:gridSpan w:val="2"/>
            <w:tcBorders>
              <w:top w:val="single" w:sz="8" w:space="0" w:color="auto"/>
              <w:left w:val="single" w:sz="8" w:space="0" w:color="auto"/>
              <w:bottom w:val="single" w:sz="8" w:space="0" w:color="auto"/>
              <w:right w:val="single" w:sz="4" w:space="0" w:color="auto"/>
            </w:tcBorders>
            <w:noWrap/>
            <w:vAlign w:val="bottom"/>
          </w:tcPr>
          <w:p w:rsidR="00457C6B" w:rsidRPr="00945619" w:rsidRDefault="0047703E">
            <w:pPr>
              <w:rPr>
                <w:rFonts w:ascii="Arial" w:hAnsi="Arial" w:cs="Arial"/>
                <w:b/>
                <w:bCs/>
                <w:color w:val="000000"/>
                <w:sz w:val="20"/>
                <w:szCs w:val="20"/>
              </w:rPr>
            </w:pPr>
            <w:r w:rsidRPr="00945619">
              <w:rPr>
                <w:rFonts w:ascii="Arial" w:hAnsi="Arial" w:cs="Arial"/>
                <w:b/>
                <w:bCs/>
                <w:color w:val="000000"/>
                <w:sz w:val="20"/>
                <w:szCs w:val="20"/>
              </w:rPr>
              <w:t>Valore di estinzione al 31.12.2014</w:t>
            </w:r>
          </w:p>
        </w:tc>
        <w:tc>
          <w:tcPr>
            <w:tcW w:w="1860" w:type="dxa"/>
            <w:tcBorders>
              <w:top w:val="single" w:sz="8" w:space="0" w:color="auto"/>
              <w:left w:val="nil"/>
              <w:bottom w:val="single" w:sz="8" w:space="0" w:color="auto"/>
              <w:right w:val="single" w:sz="4" w:space="0" w:color="auto"/>
            </w:tcBorders>
            <w:shd w:val="clear" w:color="000000" w:fill="FFCC99"/>
            <w:noWrap/>
            <w:vAlign w:val="bottom"/>
          </w:tcPr>
          <w:p w:rsidR="00457C6B" w:rsidRPr="00945619" w:rsidRDefault="0047703E">
            <w:pPr>
              <w:rPr>
                <w:rFonts w:ascii="Arial" w:hAnsi="Arial" w:cs="Arial"/>
                <w:color w:val="000000"/>
                <w:sz w:val="20"/>
                <w:szCs w:val="20"/>
              </w:rPr>
            </w:pPr>
            <w:r w:rsidRPr="00945619">
              <w:rPr>
                <w:rFonts w:ascii="Arial" w:hAnsi="Arial" w:cs="Arial"/>
                <w:color w:val="000000"/>
                <w:sz w:val="20"/>
                <w:szCs w:val="20"/>
              </w:rPr>
              <w:t> </w:t>
            </w:r>
          </w:p>
        </w:tc>
        <w:tc>
          <w:tcPr>
            <w:tcW w:w="1860" w:type="dxa"/>
            <w:tcBorders>
              <w:top w:val="single" w:sz="8" w:space="0" w:color="auto"/>
              <w:left w:val="nil"/>
              <w:bottom w:val="single" w:sz="8" w:space="0" w:color="auto"/>
              <w:right w:val="single" w:sz="4" w:space="0" w:color="auto"/>
            </w:tcBorders>
            <w:noWrap/>
            <w:vAlign w:val="bottom"/>
          </w:tcPr>
          <w:p w:rsidR="00457C6B" w:rsidRPr="00014878" w:rsidRDefault="0047703E">
            <w:pPr>
              <w:rPr>
                <w:rFonts w:ascii="Arial" w:hAnsi="Arial" w:cs="Arial"/>
                <w:b/>
                <w:bCs/>
                <w:color w:val="000000"/>
                <w:sz w:val="20"/>
                <w:szCs w:val="20"/>
              </w:rPr>
            </w:pPr>
            <w:r w:rsidRPr="00945619">
              <w:rPr>
                <w:rFonts w:ascii="Arial" w:hAnsi="Arial" w:cs="Arial"/>
                <w:b/>
                <w:bCs/>
                <w:color w:val="000000"/>
                <w:sz w:val="20"/>
                <w:szCs w:val="20"/>
              </w:rPr>
              <w:t xml:space="preserve">Mark </w:t>
            </w:r>
            <w:proofErr w:type="spellStart"/>
            <w:r w:rsidRPr="00945619">
              <w:rPr>
                <w:rFonts w:ascii="Arial" w:hAnsi="Arial" w:cs="Arial"/>
                <w:b/>
                <w:bCs/>
                <w:color w:val="000000"/>
                <w:sz w:val="20"/>
                <w:szCs w:val="20"/>
              </w:rPr>
              <w:t>to</w:t>
            </w:r>
            <w:proofErr w:type="spellEnd"/>
            <w:r w:rsidRPr="00945619">
              <w:rPr>
                <w:rFonts w:ascii="Arial" w:hAnsi="Arial" w:cs="Arial"/>
                <w:b/>
                <w:bCs/>
                <w:color w:val="000000"/>
                <w:sz w:val="20"/>
                <w:szCs w:val="20"/>
              </w:rPr>
              <w:t xml:space="preserve"> market</w:t>
            </w:r>
          </w:p>
        </w:tc>
        <w:tc>
          <w:tcPr>
            <w:tcW w:w="1860" w:type="dxa"/>
            <w:tcBorders>
              <w:top w:val="single" w:sz="8" w:space="0" w:color="auto"/>
              <w:left w:val="nil"/>
              <w:bottom w:val="single" w:sz="8" w:space="0" w:color="auto"/>
              <w:right w:val="single" w:sz="8" w:space="0" w:color="auto"/>
            </w:tcBorders>
            <w:shd w:val="clear" w:color="000000" w:fill="FFCC99"/>
            <w:noWrap/>
            <w:vAlign w:val="bottom"/>
          </w:tcPr>
          <w:p w:rsidR="00457C6B" w:rsidRPr="00945619" w:rsidRDefault="0047703E">
            <w:pPr>
              <w:jc w:val="center"/>
              <w:rPr>
                <w:rFonts w:ascii="Arial" w:hAnsi="Arial" w:cs="Arial"/>
                <w:sz w:val="20"/>
                <w:szCs w:val="20"/>
              </w:rPr>
            </w:pPr>
            <w:r w:rsidRPr="00945619">
              <w:rPr>
                <w:rFonts w:ascii="Arial" w:hAnsi="Arial" w:cs="Arial"/>
                <w:sz w:val="20"/>
                <w:szCs w:val="20"/>
              </w:rPr>
              <w:t> </w:t>
            </w:r>
          </w:p>
        </w:tc>
      </w:tr>
    </w:tbl>
    <w:p w:rsidR="00457C6B" w:rsidRDefault="00457C6B">
      <w:pPr>
        <w:spacing w:after="120"/>
        <w:jc w:val="center"/>
        <w:rPr>
          <w:rFonts w:ascii="Arial" w:hAnsi="Arial" w:cs="Arial"/>
          <w:bCs/>
          <w:i/>
          <w:sz w:val="20"/>
          <w:szCs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bCs/>
          <w:color w:val="0000FF"/>
          <w:sz w:val="20"/>
          <w:szCs w:val="20"/>
        </w:rPr>
      </w:pPr>
      <w:r>
        <w:rPr>
          <w:rFonts w:ascii="Arial" w:hAnsi="Arial" w:cs="Arial"/>
          <w:bCs/>
          <w:color w:val="0000FF"/>
          <w:sz w:val="20"/>
          <w:szCs w:val="20"/>
        </w:rPr>
        <w:t>(</w:t>
      </w:r>
      <w:r>
        <w:rPr>
          <w:rFonts w:ascii="Arial" w:hAnsi="Arial" w:cs="Arial"/>
          <w:b/>
          <w:bCs/>
          <w:color w:val="0000FF"/>
          <w:sz w:val="20"/>
          <w:szCs w:val="20"/>
        </w:rPr>
        <w:t>eventuale</w:t>
      </w:r>
      <w:r>
        <w:rPr>
          <w:rFonts w:ascii="Arial" w:hAnsi="Arial" w:cs="Arial"/>
          <w:bCs/>
          <w:color w:val="0000FF"/>
          <w:sz w:val="20"/>
          <w:szCs w:val="20"/>
        </w:rPr>
        <w:t>)</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bCs/>
          <w:sz w:val="20"/>
          <w:szCs w:val="20"/>
        </w:rPr>
      </w:pPr>
      <w:r>
        <w:rPr>
          <w:rFonts w:ascii="Arial" w:hAnsi="Arial" w:cs="Arial"/>
          <w:bCs/>
          <w:sz w:val="20"/>
          <w:szCs w:val="20"/>
        </w:rPr>
        <w:t xml:space="preserve">L’Ente ha previsto la ristrutturazione di contratti in strumenti finanziari derivati nell’anno 2015; il prezzo per la ristrutturazione è iscritto al titolo ….. della spesa per euro </w:t>
      </w:r>
      <w:proofErr w:type="spellStart"/>
      <w:r>
        <w:rPr>
          <w:rFonts w:ascii="Arial" w:hAnsi="Arial" w:cs="Arial"/>
          <w:bCs/>
          <w:sz w:val="20"/>
          <w:szCs w:val="20"/>
        </w:rPr>
        <w:t>…………………………</w:t>
      </w:r>
      <w:proofErr w:type="spellEnd"/>
      <w:r>
        <w:rPr>
          <w:rFonts w:ascii="Arial" w:hAnsi="Arial" w:cs="Arial"/>
          <w:bCs/>
          <w:sz w:val="20"/>
          <w:szCs w:val="20"/>
        </w:rPr>
        <w:t>;</w:t>
      </w:r>
    </w:p>
    <w:p w:rsidR="00457C6B" w:rsidRDefault="00457C6B">
      <w:pPr>
        <w:pBdr>
          <w:top w:val="outset" w:sz="6" w:space="1" w:color="auto"/>
          <w:left w:val="outset" w:sz="6" w:space="4" w:color="auto"/>
          <w:bottom w:val="inset" w:sz="6" w:space="1" w:color="auto"/>
          <w:right w:val="inset" w:sz="6" w:space="4" w:color="auto"/>
        </w:pBdr>
        <w:jc w:val="both"/>
        <w:rPr>
          <w:rFonts w:ascii="Arial" w:hAnsi="Arial" w:cs="Arial"/>
          <w:bCs/>
          <w:sz w:val="20"/>
          <w:szCs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bCs/>
          <w:color w:val="0000FF"/>
          <w:sz w:val="20"/>
          <w:szCs w:val="20"/>
        </w:rPr>
      </w:pPr>
      <w:r>
        <w:rPr>
          <w:rFonts w:ascii="Arial" w:hAnsi="Arial" w:cs="Arial"/>
          <w:bCs/>
          <w:color w:val="0000FF"/>
          <w:sz w:val="20"/>
          <w:szCs w:val="20"/>
        </w:rPr>
        <w:t>oppure</w:t>
      </w:r>
    </w:p>
    <w:p w:rsidR="00457C6B" w:rsidRDefault="0047703E">
      <w:pPr>
        <w:pBdr>
          <w:top w:val="outset" w:sz="6" w:space="1" w:color="auto"/>
          <w:left w:val="outset" w:sz="6" w:space="4" w:color="auto"/>
          <w:bottom w:val="inset" w:sz="6" w:space="1" w:color="auto"/>
          <w:right w:val="inset" w:sz="6" w:space="4" w:color="auto"/>
        </w:pBdr>
        <w:spacing w:line="360" w:lineRule="auto"/>
        <w:jc w:val="both"/>
        <w:rPr>
          <w:rFonts w:ascii="Arial" w:hAnsi="Arial" w:cs="Arial"/>
          <w:bCs/>
          <w:sz w:val="20"/>
          <w:szCs w:val="20"/>
        </w:rPr>
      </w:pPr>
      <w:r>
        <w:rPr>
          <w:rFonts w:ascii="Arial" w:hAnsi="Arial" w:cs="Arial"/>
          <w:bCs/>
          <w:sz w:val="20"/>
          <w:szCs w:val="20"/>
        </w:rPr>
        <w:t xml:space="preserve">il ricavo per la ristrutturazione è iscritto al titolo ….. dell’entrata per euro </w:t>
      </w:r>
      <w:proofErr w:type="spellStart"/>
      <w:r>
        <w:rPr>
          <w:rFonts w:ascii="Arial" w:hAnsi="Arial" w:cs="Arial"/>
          <w:bCs/>
          <w:sz w:val="20"/>
          <w:szCs w:val="20"/>
        </w:rPr>
        <w:t>………………………………</w:t>
      </w:r>
      <w:proofErr w:type="spellEnd"/>
      <w:r>
        <w:rPr>
          <w:rFonts w:ascii="Arial" w:hAnsi="Arial" w:cs="Arial"/>
          <w:bCs/>
          <w:sz w:val="20"/>
          <w:szCs w:val="20"/>
        </w:rPr>
        <w:t xml:space="preserve"> ed è destinato al titolo ….. della spesa per euro </w:t>
      </w:r>
      <w:proofErr w:type="spellStart"/>
      <w:r>
        <w:rPr>
          <w:rFonts w:ascii="Arial" w:hAnsi="Arial" w:cs="Arial"/>
          <w:bCs/>
          <w:sz w:val="20"/>
          <w:szCs w:val="20"/>
        </w:rPr>
        <w:t>……………</w:t>
      </w:r>
      <w:proofErr w:type="spellEnd"/>
      <w:r>
        <w:rPr>
          <w:rFonts w:ascii="Arial" w:hAnsi="Arial" w:cs="Arial"/>
          <w:bCs/>
          <w:sz w:val="20"/>
          <w:szCs w:val="20"/>
        </w:rPr>
        <w:t>..</w:t>
      </w:r>
      <w:proofErr w:type="spellStart"/>
      <w:r>
        <w:rPr>
          <w:rFonts w:ascii="Arial" w:hAnsi="Arial" w:cs="Arial"/>
          <w:bCs/>
          <w:sz w:val="20"/>
          <w:szCs w:val="20"/>
        </w:rPr>
        <w:t>………</w:t>
      </w:r>
      <w:proofErr w:type="spellEnd"/>
    </w:p>
    <w:p w:rsidR="00457C6B" w:rsidRDefault="00457C6B">
      <w:pPr>
        <w:jc w:val="both"/>
        <w:rPr>
          <w:rFonts w:ascii="Arial" w:hAnsi="Arial" w:cs="Arial"/>
          <w:b/>
          <w:i/>
          <w:color w:val="0000FF"/>
          <w:sz w:val="18"/>
          <w:szCs w:val="18"/>
        </w:rPr>
      </w:pPr>
      <w:bookmarkStart w:id="42" w:name="_VERIFICA_ATTENDIBILITA’_E_"/>
      <w:bookmarkEnd w:id="42"/>
    </w:p>
    <w:p w:rsidR="00457C6B" w:rsidRDefault="00457C6B">
      <w:pPr>
        <w:jc w:val="both"/>
        <w:rPr>
          <w:rFonts w:ascii="Arial" w:hAnsi="Arial" w:cs="Arial"/>
          <w:b/>
          <w:i/>
          <w:color w:val="0000FF"/>
          <w:sz w:val="18"/>
          <w:szCs w:val="18"/>
        </w:rPr>
      </w:pPr>
    </w:p>
    <w:p w:rsidR="00545B74" w:rsidRDefault="00545B74">
      <w:pPr>
        <w:jc w:val="both"/>
        <w:rPr>
          <w:rFonts w:ascii="Arial" w:hAnsi="Arial" w:cs="Arial"/>
          <w:b/>
          <w:i/>
          <w:color w:val="0000FF"/>
          <w:sz w:val="18"/>
          <w:szCs w:val="18"/>
        </w:rPr>
      </w:pPr>
    </w:p>
    <w:p w:rsidR="00545B74" w:rsidRDefault="00545B74">
      <w:pPr>
        <w:jc w:val="both"/>
        <w:rPr>
          <w:rFonts w:ascii="Arial" w:hAnsi="Arial" w:cs="Arial"/>
          <w:b/>
          <w:i/>
          <w:color w:val="0000FF"/>
          <w:sz w:val="18"/>
          <w:szCs w:val="18"/>
        </w:rPr>
      </w:pPr>
    </w:p>
    <w:p w:rsidR="00457C6B" w:rsidRDefault="0047703E">
      <w:pPr>
        <w:pStyle w:val="Titolo3"/>
      </w:pPr>
      <w:r>
        <w:lastRenderedPageBreak/>
        <w:t xml:space="preserve">CONTRATTI </w:t>
      </w:r>
      <w:proofErr w:type="spellStart"/>
      <w:r>
        <w:t>DI</w:t>
      </w:r>
      <w:proofErr w:type="spellEnd"/>
      <w:r>
        <w:t xml:space="preserve"> LEASING</w:t>
      </w:r>
    </w:p>
    <w:p w:rsidR="00457C6B" w:rsidRDefault="00457C6B">
      <w:pPr>
        <w:rPr>
          <w:rFonts w:ascii="Arial" w:hAnsi="Arial" w:cs="Arial"/>
          <w:b/>
          <w:sz w:val="22"/>
          <w:szCs w:val="22"/>
        </w:rPr>
      </w:pPr>
    </w:p>
    <w:p w:rsidR="00457C6B" w:rsidRDefault="0047703E">
      <w:pPr>
        <w:rPr>
          <w:rFonts w:ascii="Arial" w:hAnsi="Arial" w:cs="Arial"/>
          <w:sz w:val="22"/>
          <w:szCs w:val="22"/>
        </w:rPr>
      </w:pPr>
      <w:r>
        <w:rPr>
          <w:rFonts w:ascii="Arial" w:hAnsi="Arial" w:cs="Arial"/>
          <w:sz w:val="22"/>
          <w:szCs w:val="22"/>
        </w:rPr>
        <w:t>L’ente ha in corso i seguenti contratti di locazione finanziaria:</w:t>
      </w:r>
    </w:p>
    <w:tbl>
      <w:tblPr>
        <w:tblW w:w="9560" w:type="dxa"/>
        <w:tblInd w:w="55" w:type="dxa"/>
        <w:tblCellMar>
          <w:left w:w="70" w:type="dxa"/>
          <w:right w:w="70" w:type="dxa"/>
        </w:tblCellMar>
        <w:tblLook w:val="04A0"/>
      </w:tblPr>
      <w:tblGrid>
        <w:gridCol w:w="3640"/>
        <w:gridCol w:w="1480"/>
        <w:gridCol w:w="1000"/>
        <w:gridCol w:w="1720"/>
        <w:gridCol w:w="1720"/>
      </w:tblGrid>
      <w:tr w:rsidR="00457C6B">
        <w:trPr>
          <w:trHeight w:val="255"/>
        </w:trPr>
        <w:tc>
          <w:tcPr>
            <w:tcW w:w="3640" w:type="dxa"/>
            <w:tcBorders>
              <w:top w:val="nil"/>
              <w:left w:val="nil"/>
              <w:bottom w:val="nil"/>
              <w:right w:val="nil"/>
            </w:tcBorders>
            <w:shd w:val="clear" w:color="auto" w:fill="auto"/>
            <w:noWrap/>
            <w:vAlign w:val="bottom"/>
          </w:tcPr>
          <w:p w:rsidR="00457C6B" w:rsidRDefault="00457C6B">
            <w:pPr>
              <w:rPr>
                <w:rFonts w:ascii="Verdana" w:hAnsi="Verdana" w:cs="Arial"/>
                <w:sz w:val="20"/>
                <w:szCs w:val="20"/>
              </w:rPr>
            </w:pPr>
          </w:p>
        </w:tc>
        <w:tc>
          <w:tcPr>
            <w:tcW w:w="1480" w:type="dxa"/>
            <w:tcBorders>
              <w:top w:val="nil"/>
              <w:left w:val="nil"/>
              <w:bottom w:val="nil"/>
              <w:right w:val="nil"/>
            </w:tcBorders>
            <w:shd w:val="clear" w:color="auto" w:fill="auto"/>
            <w:noWrap/>
            <w:vAlign w:val="bottom"/>
          </w:tcPr>
          <w:p w:rsidR="00457C6B" w:rsidRDefault="00457C6B">
            <w:pPr>
              <w:rPr>
                <w:rFonts w:ascii="Arial" w:hAnsi="Arial" w:cs="Arial"/>
                <w:sz w:val="20"/>
                <w:szCs w:val="20"/>
              </w:rPr>
            </w:pPr>
          </w:p>
        </w:tc>
        <w:tc>
          <w:tcPr>
            <w:tcW w:w="1000" w:type="dxa"/>
            <w:tcBorders>
              <w:top w:val="nil"/>
              <w:left w:val="nil"/>
              <w:bottom w:val="nil"/>
              <w:right w:val="nil"/>
            </w:tcBorders>
            <w:shd w:val="clear" w:color="auto" w:fill="auto"/>
            <w:noWrap/>
            <w:vAlign w:val="bottom"/>
          </w:tcPr>
          <w:p w:rsidR="00457C6B" w:rsidRDefault="00457C6B">
            <w:pPr>
              <w:rPr>
                <w:rFonts w:ascii="Arial" w:hAnsi="Arial" w:cs="Arial"/>
                <w:sz w:val="20"/>
                <w:szCs w:val="20"/>
              </w:rPr>
            </w:pPr>
          </w:p>
        </w:tc>
        <w:tc>
          <w:tcPr>
            <w:tcW w:w="1720" w:type="dxa"/>
            <w:tcBorders>
              <w:top w:val="nil"/>
              <w:left w:val="nil"/>
              <w:bottom w:val="nil"/>
              <w:right w:val="nil"/>
            </w:tcBorders>
            <w:shd w:val="clear" w:color="auto" w:fill="auto"/>
            <w:noWrap/>
            <w:vAlign w:val="bottom"/>
          </w:tcPr>
          <w:p w:rsidR="00457C6B" w:rsidRDefault="00457C6B">
            <w:pPr>
              <w:rPr>
                <w:rFonts w:ascii="Arial" w:hAnsi="Arial" w:cs="Arial"/>
                <w:sz w:val="20"/>
                <w:szCs w:val="20"/>
              </w:rPr>
            </w:pPr>
          </w:p>
        </w:tc>
        <w:tc>
          <w:tcPr>
            <w:tcW w:w="1720" w:type="dxa"/>
            <w:tcBorders>
              <w:top w:val="nil"/>
              <w:left w:val="nil"/>
              <w:bottom w:val="nil"/>
              <w:right w:val="nil"/>
            </w:tcBorders>
            <w:shd w:val="clear" w:color="auto" w:fill="auto"/>
            <w:noWrap/>
            <w:vAlign w:val="bottom"/>
          </w:tcPr>
          <w:p w:rsidR="00457C6B" w:rsidRDefault="00457C6B">
            <w:pPr>
              <w:jc w:val="right"/>
              <w:rPr>
                <w:rFonts w:ascii="Arial" w:hAnsi="Arial" w:cs="Arial"/>
                <w:sz w:val="16"/>
                <w:szCs w:val="16"/>
              </w:rPr>
            </w:pPr>
          </w:p>
        </w:tc>
      </w:tr>
      <w:tr w:rsidR="00457C6B">
        <w:trPr>
          <w:trHeight w:val="510"/>
        </w:trPr>
        <w:tc>
          <w:tcPr>
            <w:tcW w:w="3640" w:type="dxa"/>
            <w:tcBorders>
              <w:top w:val="single" w:sz="4" w:space="0" w:color="auto"/>
              <w:left w:val="single" w:sz="4" w:space="0" w:color="auto"/>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Bene utilizzato</w:t>
            </w:r>
          </w:p>
        </w:tc>
        <w:tc>
          <w:tcPr>
            <w:tcW w:w="1480" w:type="dxa"/>
            <w:tcBorders>
              <w:top w:val="single" w:sz="4" w:space="0" w:color="auto"/>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Costo per il concedente</w:t>
            </w:r>
          </w:p>
        </w:tc>
        <w:tc>
          <w:tcPr>
            <w:tcW w:w="1000" w:type="dxa"/>
            <w:tcBorders>
              <w:top w:val="single" w:sz="4" w:space="0" w:color="auto"/>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Durata in mesi</w:t>
            </w:r>
          </w:p>
        </w:tc>
        <w:tc>
          <w:tcPr>
            <w:tcW w:w="1720" w:type="dxa"/>
            <w:tcBorders>
              <w:top w:val="single" w:sz="4" w:space="0" w:color="auto"/>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Canone annuo</w:t>
            </w:r>
          </w:p>
        </w:tc>
        <w:tc>
          <w:tcPr>
            <w:tcW w:w="1720" w:type="dxa"/>
            <w:tcBorders>
              <w:top w:val="single" w:sz="4" w:space="0" w:color="auto"/>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Costo riscatto</w:t>
            </w:r>
          </w:p>
        </w:tc>
      </w:tr>
      <w:tr w:rsidR="00457C6B">
        <w:trPr>
          <w:trHeight w:val="300"/>
        </w:trPr>
        <w:tc>
          <w:tcPr>
            <w:tcW w:w="3640" w:type="dxa"/>
            <w:tcBorders>
              <w:top w:val="nil"/>
              <w:left w:val="single" w:sz="4" w:space="0" w:color="auto"/>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shd w:val="clear" w:color="auto" w:fill="auto"/>
          </w:tcPr>
          <w:p w:rsidR="00457C6B" w:rsidRDefault="0047703E">
            <w:pPr>
              <w:rPr>
                <w:rFonts w:ascii="Verdana" w:hAnsi="Verdana" w:cs="Arial"/>
                <w:b/>
                <w:bCs/>
                <w:i/>
                <w:iCs/>
              </w:rPr>
            </w:pPr>
            <w:r>
              <w:rPr>
                <w:rFonts w:ascii="Verdana" w:hAnsi="Verdana" w:cs="Arial"/>
                <w:b/>
                <w:bCs/>
                <w:i/>
                <w:iCs/>
              </w:rPr>
              <w:t> </w:t>
            </w:r>
          </w:p>
        </w:tc>
        <w:tc>
          <w:tcPr>
            <w:tcW w:w="1000" w:type="dxa"/>
            <w:tcBorders>
              <w:top w:val="nil"/>
              <w:left w:val="nil"/>
              <w:bottom w:val="single" w:sz="4" w:space="0" w:color="auto"/>
              <w:right w:val="single" w:sz="4" w:space="0" w:color="auto"/>
            </w:tcBorders>
            <w:shd w:val="clear" w:color="auto" w:fill="auto"/>
          </w:tcPr>
          <w:p w:rsidR="00457C6B" w:rsidRDefault="0047703E">
            <w:pPr>
              <w:rPr>
                <w:rFonts w:ascii="Verdana" w:hAnsi="Verdana" w:cs="Arial"/>
                <w:b/>
                <w:bCs/>
                <w:i/>
                <w:iCs/>
              </w:rPr>
            </w:pPr>
            <w:r>
              <w:rPr>
                <w:rFonts w:ascii="Verdana" w:hAnsi="Verdana" w:cs="Arial"/>
                <w:b/>
                <w:bCs/>
                <w:i/>
                <w:iCs/>
              </w:rPr>
              <w:t> </w:t>
            </w:r>
          </w:p>
        </w:tc>
        <w:tc>
          <w:tcPr>
            <w:tcW w:w="1720" w:type="dxa"/>
            <w:tcBorders>
              <w:top w:val="nil"/>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c>
          <w:tcPr>
            <w:tcW w:w="1720" w:type="dxa"/>
            <w:tcBorders>
              <w:top w:val="nil"/>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r>
      <w:tr w:rsidR="00457C6B">
        <w:trPr>
          <w:trHeight w:val="300"/>
        </w:trPr>
        <w:tc>
          <w:tcPr>
            <w:tcW w:w="3640" w:type="dxa"/>
            <w:tcBorders>
              <w:top w:val="nil"/>
              <w:left w:val="single" w:sz="4" w:space="0" w:color="auto"/>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c>
          <w:tcPr>
            <w:tcW w:w="1480" w:type="dxa"/>
            <w:tcBorders>
              <w:top w:val="nil"/>
              <w:left w:val="nil"/>
              <w:bottom w:val="single" w:sz="4" w:space="0" w:color="auto"/>
              <w:right w:val="single" w:sz="4" w:space="0" w:color="auto"/>
            </w:tcBorders>
            <w:shd w:val="clear" w:color="auto" w:fill="auto"/>
          </w:tcPr>
          <w:p w:rsidR="00457C6B" w:rsidRDefault="0047703E">
            <w:pPr>
              <w:rPr>
                <w:rFonts w:ascii="Verdana" w:hAnsi="Verdana" w:cs="Arial"/>
                <w:b/>
                <w:bCs/>
                <w:i/>
                <w:iCs/>
              </w:rPr>
            </w:pPr>
            <w:r>
              <w:rPr>
                <w:rFonts w:ascii="Verdana" w:hAnsi="Verdana" w:cs="Arial"/>
                <w:b/>
                <w:bCs/>
                <w:i/>
                <w:iCs/>
              </w:rPr>
              <w:t> </w:t>
            </w:r>
          </w:p>
        </w:tc>
        <w:tc>
          <w:tcPr>
            <w:tcW w:w="1000" w:type="dxa"/>
            <w:tcBorders>
              <w:top w:val="nil"/>
              <w:left w:val="nil"/>
              <w:bottom w:val="single" w:sz="4" w:space="0" w:color="auto"/>
              <w:right w:val="single" w:sz="4" w:space="0" w:color="auto"/>
            </w:tcBorders>
            <w:shd w:val="clear" w:color="auto" w:fill="auto"/>
          </w:tcPr>
          <w:p w:rsidR="00457C6B" w:rsidRDefault="0047703E">
            <w:pPr>
              <w:rPr>
                <w:rFonts w:ascii="Verdana" w:hAnsi="Verdana" w:cs="Arial"/>
                <w:b/>
                <w:bCs/>
                <w:i/>
                <w:iCs/>
              </w:rPr>
            </w:pPr>
            <w:r>
              <w:rPr>
                <w:rFonts w:ascii="Verdana" w:hAnsi="Verdana" w:cs="Arial"/>
                <w:b/>
                <w:bCs/>
                <w:i/>
                <w:iCs/>
              </w:rPr>
              <w:t> </w:t>
            </w:r>
          </w:p>
        </w:tc>
        <w:tc>
          <w:tcPr>
            <w:tcW w:w="1720" w:type="dxa"/>
            <w:tcBorders>
              <w:top w:val="nil"/>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c>
          <w:tcPr>
            <w:tcW w:w="1720" w:type="dxa"/>
            <w:tcBorders>
              <w:top w:val="nil"/>
              <w:left w:val="nil"/>
              <w:bottom w:val="single" w:sz="4" w:space="0" w:color="auto"/>
              <w:right w:val="single" w:sz="4" w:space="0" w:color="auto"/>
            </w:tcBorders>
            <w:shd w:val="clear" w:color="auto" w:fill="auto"/>
          </w:tcPr>
          <w:p w:rsidR="00457C6B" w:rsidRDefault="0047703E">
            <w:pPr>
              <w:jc w:val="center"/>
              <w:rPr>
                <w:rFonts w:ascii="Arial" w:hAnsi="Arial" w:cs="Arial"/>
                <w:b/>
                <w:bCs/>
                <w:sz w:val="20"/>
                <w:szCs w:val="20"/>
              </w:rPr>
            </w:pPr>
            <w:r>
              <w:rPr>
                <w:rFonts w:ascii="Arial" w:hAnsi="Arial" w:cs="Arial"/>
                <w:b/>
                <w:bCs/>
                <w:sz w:val="20"/>
                <w:szCs w:val="20"/>
              </w:rPr>
              <w:t> </w:t>
            </w:r>
          </w:p>
        </w:tc>
      </w:tr>
    </w:tbl>
    <w:p w:rsidR="00457C6B" w:rsidRDefault="00457C6B">
      <w:pPr>
        <w:rPr>
          <w:rFonts w:ascii="Arial" w:hAnsi="Arial" w:cs="Arial"/>
          <w:sz w:val="22"/>
          <w:szCs w:val="22"/>
        </w:rPr>
      </w:pPr>
    </w:p>
    <w:p w:rsidR="00457C6B" w:rsidRDefault="00457C6B">
      <w:pPr>
        <w:jc w:val="center"/>
        <w:rPr>
          <w:rFonts w:ascii="Arial" w:hAnsi="Arial" w:cs="Arial"/>
          <w:sz w:val="22"/>
          <w:szCs w:val="22"/>
        </w:rPr>
      </w:pPr>
    </w:p>
    <w:p w:rsidR="00457C6B" w:rsidRDefault="00457C6B">
      <w:pPr>
        <w:rPr>
          <w:rFonts w:ascii="Arial" w:hAnsi="Arial" w:cs="Arial"/>
          <w:b/>
          <w:sz w:val="20"/>
        </w:rPr>
      </w:pPr>
    </w:p>
    <w:p w:rsidR="00457C6B" w:rsidRDefault="0047703E">
      <w:pPr>
        <w:pStyle w:val="Sottotitolo"/>
        <w:jc w:val="left"/>
        <w:rPr>
          <w:rFonts w:ascii="Arial" w:hAnsi="Arial" w:cs="Arial"/>
          <w:b/>
          <w:sz w:val="22"/>
          <w:szCs w:val="22"/>
        </w:rPr>
      </w:pPr>
      <w:r>
        <w:rPr>
          <w:rFonts w:ascii="Arial" w:hAnsi="Arial" w:cs="Arial"/>
          <w:b/>
          <w:sz w:val="22"/>
          <w:szCs w:val="22"/>
        </w:rPr>
        <w:t>Rinegoziazione mutui e altre norme sull’indebitamento</w:t>
      </w:r>
    </w:p>
    <w:p w:rsidR="00457C6B" w:rsidRDefault="0047703E">
      <w:pPr>
        <w:rPr>
          <w:rFonts w:ascii="Arial" w:hAnsi="Arial" w:cs="Arial"/>
          <w:sz w:val="22"/>
          <w:szCs w:val="22"/>
        </w:rPr>
      </w:pPr>
      <w:r>
        <w:rPr>
          <w:rFonts w:ascii="Arial" w:hAnsi="Arial" w:cs="Arial"/>
          <w:sz w:val="22"/>
          <w:szCs w:val="22"/>
        </w:rPr>
        <w:t xml:space="preserve">il comma 537 dell’art.1 della legge 190/2014 dispone che la durata della rinegoziazione, relative a passività esistenti già oggetto di rinegoziazione, non può superare i trenta anni dalla data del loro perfezionamento. </w:t>
      </w:r>
    </w:p>
    <w:p w:rsidR="00457C6B" w:rsidRDefault="0047703E">
      <w:pPr>
        <w:jc w:val="both"/>
        <w:rPr>
          <w:rFonts w:ascii="Arial" w:hAnsi="Arial" w:cs="Arial"/>
          <w:b/>
          <w:i/>
          <w:color w:val="0000FF"/>
          <w:sz w:val="18"/>
          <w:szCs w:val="18"/>
        </w:rPr>
      </w:pPr>
      <w:r>
        <w:rPr>
          <w:rFonts w:ascii="Arial" w:hAnsi="Arial" w:cs="Arial"/>
        </w:rPr>
        <w:br w:type="page"/>
      </w: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57C6B">
      <w:pPr>
        <w:jc w:val="both"/>
        <w:rPr>
          <w:rFonts w:ascii="Arial" w:hAnsi="Arial" w:cs="Arial"/>
          <w:b/>
          <w:i/>
          <w:color w:val="0000FF"/>
          <w:sz w:val="18"/>
          <w:szCs w:val="18"/>
        </w:rPr>
      </w:pPr>
    </w:p>
    <w:p w:rsidR="00457C6B" w:rsidRDefault="0047703E">
      <w:pPr>
        <w:pStyle w:val="Titolo1"/>
        <w:rPr>
          <w:sz w:val="32"/>
          <w:szCs w:val="32"/>
        </w:rPr>
      </w:pPr>
      <w:r>
        <w:rPr>
          <w:sz w:val="32"/>
          <w:szCs w:val="32"/>
        </w:rPr>
        <w:t>VERIFICA ATTENDIBILITA’ E CONGRUITA’ BILANCIO PLURIENNALE 2015-2017</w:t>
      </w:r>
    </w:p>
    <w:p w:rsidR="00457C6B" w:rsidRDefault="0047703E">
      <w:pPr>
        <w:jc w:val="both"/>
        <w:rPr>
          <w:rFonts w:ascii="Arial" w:hAnsi="Arial" w:cs="Arial"/>
          <w:color w:val="0000FF"/>
          <w:sz w:val="20"/>
          <w:szCs w:val="20"/>
        </w:rPr>
      </w:pPr>
      <w:r>
        <w:rPr>
          <w:rFonts w:ascii="Arial" w:hAnsi="Arial" w:cs="Arial"/>
          <w:b/>
          <w:i/>
          <w:color w:val="0000FF"/>
          <w:sz w:val="18"/>
          <w:szCs w:val="18"/>
        </w:rPr>
        <w:br w:type="page"/>
      </w:r>
      <w:r>
        <w:rPr>
          <w:rFonts w:ascii="Arial" w:hAnsi="Arial" w:cs="Arial"/>
          <w:color w:val="0000FF"/>
          <w:sz w:val="20"/>
          <w:szCs w:val="20"/>
        </w:rPr>
        <w:lastRenderedPageBreak/>
        <w:t>(Attestare solo gli elementi effettivamente contenuti nel bilancio pluriennale. La mancata indicazione di elementi che si ritengono essenziali ai fini illustrativi e per la verifica della coerenza, attendibilità e congruità delle previsioni deve essere evidenziata nella parte “ osservazioni e suggerimenti”)</w:t>
      </w:r>
    </w:p>
    <w:p w:rsidR="00457C6B" w:rsidRDefault="0047703E">
      <w:pPr>
        <w:spacing w:before="240"/>
        <w:jc w:val="both"/>
        <w:rPr>
          <w:rFonts w:ascii="Arial" w:hAnsi="Arial" w:cs="Arial"/>
          <w:color w:val="0000FF"/>
          <w:sz w:val="20"/>
          <w:szCs w:val="20"/>
        </w:rPr>
      </w:pPr>
      <w:r>
        <w:rPr>
          <w:rFonts w:ascii="Arial" w:hAnsi="Arial" w:cs="Arial"/>
          <w:sz w:val="22"/>
          <w:szCs w:val="22"/>
        </w:rPr>
        <w:t xml:space="preserve">Il bilancio pluriennale è redatto in conformità a quanto previsto dall’articolo 171 del </w:t>
      </w:r>
      <w:r>
        <w:rPr>
          <w:rFonts w:ascii="Arial" w:hAnsi="Arial" w:cs="Arial"/>
          <w:sz w:val="20"/>
          <w:szCs w:val="20"/>
        </w:rPr>
        <w:t>TUEL</w:t>
      </w:r>
      <w:r>
        <w:rPr>
          <w:rFonts w:ascii="Arial" w:hAnsi="Arial" w:cs="Arial"/>
          <w:sz w:val="22"/>
          <w:szCs w:val="22"/>
        </w:rPr>
        <w:t xml:space="preserve"> e secondo lo schema approvato con il D.P.R. n. 194/1996</w:t>
      </w:r>
      <w:r>
        <w:rPr>
          <w:rFonts w:ascii="Arial" w:hAnsi="Arial" w:cs="Arial"/>
          <w:sz w:val="20"/>
        </w:rPr>
        <w:t xml:space="preserve"> </w:t>
      </w:r>
      <w:r>
        <w:rPr>
          <w:rFonts w:ascii="Arial" w:hAnsi="Arial" w:cs="Arial"/>
          <w:color w:val="0000FF"/>
          <w:sz w:val="20"/>
          <w:szCs w:val="20"/>
        </w:rPr>
        <w:t>(l’utilizzo di tale schema non è obbligatorio; col regolamento di contabilità l’ente può approvare modelli diversi che, comunque, devono indicare i principi previsti dall’articolo 171).</w:t>
      </w:r>
    </w:p>
    <w:p w:rsidR="00457C6B" w:rsidRDefault="0047703E">
      <w:pPr>
        <w:pStyle w:val="BodyText21"/>
        <w:spacing w:before="120" w:after="0"/>
        <w:rPr>
          <w:rFonts w:cs="Arial"/>
          <w:b w:val="0"/>
          <w:i w:val="0"/>
          <w:sz w:val="22"/>
          <w:szCs w:val="22"/>
        </w:rPr>
      </w:pPr>
      <w:r>
        <w:rPr>
          <w:rFonts w:cs="Arial"/>
          <w:b w:val="0"/>
          <w:i w:val="0"/>
          <w:sz w:val="22"/>
          <w:szCs w:val="22"/>
        </w:rPr>
        <w:t>Il documento, per la parte relativa alla spesa, è articolato in programmi, titoli, servizi ed interventi.</w:t>
      </w:r>
    </w:p>
    <w:p w:rsidR="00457C6B" w:rsidRDefault="0047703E">
      <w:pPr>
        <w:pStyle w:val="BodyText21"/>
        <w:rPr>
          <w:rFonts w:cs="Arial"/>
          <w:b w:val="0"/>
          <w:i w:val="0"/>
          <w:sz w:val="22"/>
          <w:szCs w:val="22"/>
        </w:rPr>
      </w:pPr>
      <w:r>
        <w:rPr>
          <w:rFonts w:cs="Arial"/>
          <w:b w:val="0"/>
          <w:i w:val="0"/>
          <w:sz w:val="22"/>
          <w:szCs w:val="22"/>
        </w:rPr>
        <w:t>Le spese correnti sono ripartite tra consolidate e di sviluppo.</w:t>
      </w:r>
    </w:p>
    <w:p w:rsidR="00457C6B" w:rsidRDefault="0047703E">
      <w:pPr>
        <w:pStyle w:val="BodyText21"/>
        <w:rPr>
          <w:rFonts w:cs="Arial"/>
          <w:b w:val="0"/>
          <w:i w:val="0"/>
          <w:sz w:val="22"/>
          <w:szCs w:val="22"/>
        </w:rPr>
      </w:pPr>
      <w:r>
        <w:rPr>
          <w:rFonts w:cs="Arial"/>
          <w:b w:val="0"/>
          <w:i w:val="0"/>
          <w:sz w:val="22"/>
          <w:szCs w:val="22"/>
        </w:rPr>
        <w:t xml:space="preserve">Gli stanziamenti previsti nel bilancio pluriennale, che per il primo anno coincidono con quelli del bilancio annuale di competenza, hanno carattere </w:t>
      </w:r>
      <w:proofErr w:type="spellStart"/>
      <w:r>
        <w:rPr>
          <w:rFonts w:cs="Arial"/>
          <w:b w:val="0"/>
          <w:i w:val="0"/>
          <w:sz w:val="22"/>
          <w:szCs w:val="22"/>
        </w:rPr>
        <w:t>autorizzatorio</w:t>
      </w:r>
      <w:proofErr w:type="spellEnd"/>
      <w:r>
        <w:rPr>
          <w:rFonts w:cs="Arial"/>
          <w:b w:val="0"/>
          <w:i w:val="0"/>
          <w:sz w:val="22"/>
          <w:szCs w:val="22"/>
        </w:rPr>
        <w:t xml:space="preserve"> costituendo limiti agli impegni di spesa.</w:t>
      </w:r>
    </w:p>
    <w:p w:rsidR="00457C6B" w:rsidRDefault="0047703E">
      <w:pPr>
        <w:pStyle w:val="BodyText21"/>
        <w:rPr>
          <w:rFonts w:cs="Arial"/>
          <w:b w:val="0"/>
          <w:i w:val="0"/>
          <w:sz w:val="22"/>
          <w:szCs w:val="22"/>
        </w:rPr>
      </w:pPr>
      <w:r>
        <w:rPr>
          <w:rFonts w:cs="Arial"/>
          <w:b w:val="0"/>
          <w:i w:val="0"/>
          <w:sz w:val="22"/>
          <w:szCs w:val="22"/>
        </w:rPr>
        <w:t>Le previsioni di entrata e di spesa iscritte nel bilancio pluriennale tengono conto:</w:t>
      </w:r>
    </w:p>
    <w:p w:rsidR="00457C6B" w:rsidRDefault="0047703E">
      <w:pPr>
        <w:pStyle w:val="BodyText21"/>
        <w:numPr>
          <w:ilvl w:val="0"/>
          <w:numId w:val="14"/>
        </w:numPr>
        <w:tabs>
          <w:tab w:val="left" w:pos="360"/>
        </w:tabs>
        <w:ind w:left="357" w:hanging="357"/>
        <w:rPr>
          <w:rFonts w:cs="Arial"/>
          <w:b w:val="0"/>
          <w:i w:val="0"/>
          <w:sz w:val="22"/>
          <w:szCs w:val="22"/>
        </w:rPr>
      </w:pPr>
      <w:r>
        <w:rPr>
          <w:rFonts w:cs="Arial"/>
          <w:b w:val="0"/>
          <w:i w:val="0"/>
          <w:sz w:val="22"/>
          <w:szCs w:val="22"/>
        </w:rPr>
        <w:t xml:space="preserve">dell’osservanza dei principi del bilancio previsti dall’articolo 162 del </w:t>
      </w:r>
      <w:r>
        <w:rPr>
          <w:rFonts w:cs="Arial"/>
          <w:b w:val="0"/>
          <w:i w:val="0"/>
          <w:sz w:val="20"/>
        </w:rPr>
        <w:t>TUEL</w:t>
      </w:r>
      <w:r>
        <w:rPr>
          <w:rFonts w:cs="Arial"/>
          <w:b w:val="0"/>
          <w:i w:val="0"/>
          <w:sz w:val="22"/>
          <w:szCs w:val="22"/>
        </w:rPr>
        <w:t xml:space="preserve"> e dei postulati dei principi contabili degli enti locali e del principio contabile n. 1;</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dei mezzi finanziari destinati alla copertura delle spese correnti e al finanziamento delle spese di investimento;</w:t>
      </w:r>
    </w:p>
    <w:p w:rsidR="00457C6B" w:rsidRDefault="0047703E">
      <w:pPr>
        <w:pStyle w:val="BodyText21"/>
        <w:numPr>
          <w:ilvl w:val="0"/>
          <w:numId w:val="14"/>
        </w:numPr>
        <w:tabs>
          <w:tab w:val="left" w:pos="360"/>
        </w:tabs>
        <w:rPr>
          <w:rFonts w:cs="Arial"/>
          <w:b w:val="0"/>
          <w:i w:val="0"/>
          <w:sz w:val="20"/>
        </w:rPr>
      </w:pPr>
      <w:r>
        <w:rPr>
          <w:rFonts w:cs="Arial"/>
          <w:b w:val="0"/>
          <w:i w:val="0"/>
          <w:sz w:val="22"/>
          <w:szCs w:val="22"/>
        </w:rPr>
        <w:t>della dimostrazione della capacità di ricorso alle fonti di finanziamento ai sensi dell’articolo</w:t>
      </w:r>
      <w:r>
        <w:rPr>
          <w:rFonts w:cs="Arial"/>
          <w:b w:val="0"/>
          <w:i w:val="0"/>
          <w:sz w:val="20"/>
        </w:rPr>
        <w:t xml:space="preserve"> 204 del </w:t>
      </w:r>
      <w:proofErr w:type="spellStart"/>
      <w:r>
        <w:rPr>
          <w:rFonts w:cs="Arial"/>
          <w:b w:val="0"/>
          <w:i w:val="0"/>
          <w:sz w:val="20"/>
        </w:rPr>
        <w:t>Tuel</w:t>
      </w:r>
      <w:proofErr w:type="spellEnd"/>
      <w:r>
        <w:rPr>
          <w:rFonts w:cs="Arial"/>
          <w:b w:val="0"/>
          <w:i w:val="0"/>
          <w:sz w:val="20"/>
        </w:rPr>
        <w:t>;</w:t>
      </w:r>
    </w:p>
    <w:p w:rsidR="00457C6B" w:rsidRDefault="0047703E">
      <w:pPr>
        <w:pStyle w:val="BodyText21"/>
        <w:numPr>
          <w:ilvl w:val="0"/>
          <w:numId w:val="15"/>
        </w:numPr>
        <w:ind w:left="357" w:hanging="357"/>
        <w:rPr>
          <w:rFonts w:cs="Arial"/>
          <w:b w:val="0"/>
          <w:i w:val="0"/>
          <w:color w:val="0000FF"/>
          <w:sz w:val="20"/>
        </w:rPr>
      </w:pPr>
      <w:r>
        <w:rPr>
          <w:rFonts w:cs="Arial"/>
          <w:b w:val="0"/>
          <w:i w:val="0"/>
          <w:sz w:val="22"/>
          <w:szCs w:val="22"/>
        </w:rPr>
        <w:t>del tasso di inflazione programmato</w:t>
      </w:r>
      <w:r>
        <w:rPr>
          <w:rFonts w:cs="Arial"/>
          <w:b w:val="0"/>
          <w:i w:val="0"/>
          <w:sz w:val="20"/>
        </w:rPr>
        <w:t xml:space="preserve"> </w:t>
      </w:r>
      <w:r>
        <w:rPr>
          <w:rFonts w:cs="Arial"/>
          <w:b w:val="0"/>
          <w:i w:val="0"/>
          <w:color w:val="0000FF"/>
          <w:sz w:val="20"/>
        </w:rPr>
        <w:t>(</w:t>
      </w:r>
      <w:r>
        <w:rPr>
          <w:rFonts w:cs="Arial"/>
          <w:b w:val="0"/>
          <w:color w:val="0000FF"/>
          <w:sz w:val="20"/>
        </w:rPr>
        <w:t>il calcolo non deve essere limitato ad un semplice ed automatico incremento percentuale  delle spese e delle entrate nei diversi esercizi ma occorre tener conto dei costi effettivi e certi e delle maggiori o minori spese scaturenti da impegni assunti negli anni precedenti e dai nuovi programmi</w:t>
      </w:r>
      <w:r>
        <w:rPr>
          <w:rFonts w:cs="Arial"/>
          <w:b w:val="0"/>
          <w:i w:val="0"/>
          <w:color w:val="0000FF"/>
          <w:sz w:val="20"/>
        </w:rPr>
        <w:t>);</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degli impegni di spesa già assunti ai sensi dell’articolo 183, commi 6 e 7, dell’articolo 200 e dell’articolo 201, comma 2, del</w:t>
      </w:r>
      <w:r w:rsidR="00945619">
        <w:rPr>
          <w:rFonts w:cs="Arial"/>
          <w:b w:val="0"/>
          <w:i w:val="0"/>
          <w:sz w:val="22"/>
          <w:szCs w:val="22"/>
        </w:rPr>
        <w:t xml:space="preserve"> </w:t>
      </w:r>
      <w:proofErr w:type="spellStart"/>
      <w:r w:rsidR="00945619">
        <w:rPr>
          <w:rFonts w:cs="Arial"/>
          <w:b w:val="0"/>
          <w:i w:val="0"/>
          <w:sz w:val="22"/>
          <w:szCs w:val="22"/>
        </w:rPr>
        <w:t>Tuel</w:t>
      </w:r>
      <w:proofErr w:type="spellEnd"/>
      <w:r>
        <w:rPr>
          <w:rFonts w:cs="Arial"/>
          <w:b w:val="0"/>
          <w:i w:val="0"/>
          <w:sz w:val="22"/>
          <w:szCs w:val="22"/>
        </w:rPr>
        <w:t>;</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 xml:space="preserve">delle linee programmatiche relative alle azioni e ai progetti da realizzare presentate all’organo consiliare ai sensi dell’articolo 46, comma 3, del </w:t>
      </w:r>
      <w:proofErr w:type="spellStart"/>
      <w:r>
        <w:rPr>
          <w:rFonts w:cs="Arial"/>
          <w:b w:val="0"/>
          <w:i w:val="0"/>
          <w:sz w:val="20"/>
        </w:rPr>
        <w:t>Tuel</w:t>
      </w:r>
      <w:proofErr w:type="spellEnd"/>
      <w:r>
        <w:rPr>
          <w:rFonts w:cs="Arial"/>
          <w:b w:val="0"/>
          <w:i w:val="0"/>
          <w:sz w:val="22"/>
          <w:szCs w:val="22"/>
        </w:rPr>
        <w:t>;</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 xml:space="preserve">relazione di inizio mandato ai sensi art. 4 del </w:t>
      </w:r>
      <w:proofErr w:type="spellStart"/>
      <w:r>
        <w:rPr>
          <w:rFonts w:cs="Arial"/>
          <w:b w:val="0"/>
          <w:i w:val="0"/>
          <w:sz w:val="22"/>
          <w:szCs w:val="22"/>
        </w:rPr>
        <w:t>D.Lgs.</w:t>
      </w:r>
      <w:proofErr w:type="spellEnd"/>
      <w:r>
        <w:rPr>
          <w:rFonts w:cs="Arial"/>
          <w:b w:val="0"/>
          <w:i w:val="0"/>
          <w:sz w:val="22"/>
          <w:szCs w:val="22"/>
        </w:rPr>
        <w:t xml:space="preserve"> 149/2011;</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 piano generale di sviluppo dell’ente;</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delle previsioni contenute nel programma triennale ed elenco annuale dei lavori pubblici;</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delle previsioni contenute negli strumenti urbanistici;</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dei piani economici-finanziari approvati e della loro ricaduta nel triennio;</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della manovra tributaria e tariffaria deliberata o attuabile in rapporto alla normativa vigente;</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 xml:space="preserve">della programmazione triennale del fabbisogno di personale di cui all’art. 91 del </w:t>
      </w:r>
      <w:proofErr w:type="spellStart"/>
      <w:r>
        <w:rPr>
          <w:rFonts w:cs="Arial"/>
          <w:b w:val="0"/>
          <w:i w:val="0"/>
          <w:sz w:val="20"/>
        </w:rPr>
        <w:t>Tuel</w:t>
      </w:r>
      <w:proofErr w:type="spellEnd"/>
      <w:r>
        <w:rPr>
          <w:rFonts w:cs="Arial"/>
          <w:b w:val="0"/>
          <w:i w:val="0"/>
          <w:sz w:val="22"/>
          <w:szCs w:val="22"/>
        </w:rPr>
        <w:t>;</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 rispetto del patto di stabilità interno e dei vincoli di finanza pubblica;</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del piano delle alienazioni e valorizzazione del patrimonio immobiliare;</w:t>
      </w:r>
    </w:p>
    <w:p w:rsidR="00457C6B" w:rsidRDefault="0047703E">
      <w:pPr>
        <w:pStyle w:val="BodyText21"/>
        <w:numPr>
          <w:ilvl w:val="0"/>
          <w:numId w:val="14"/>
        </w:numPr>
        <w:tabs>
          <w:tab w:val="left" w:pos="360"/>
        </w:tabs>
        <w:rPr>
          <w:rFonts w:cs="Arial"/>
          <w:b w:val="0"/>
          <w:i w:val="0"/>
          <w:sz w:val="22"/>
          <w:szCs w:val="22"/>
        </w:rPr>
      </w:pPr>
      <w:r>
        <w:rPr>
          <w:rFonts w:cs="Arial"/>
          <w:b w:val="0"/>
          <w:i w:val="0"/>
          <w:sz w:val="22"/>
          <w:szCs w:val="22"/>
        </w:rPr>
        <w:t xml:space="preserve">delle riduzioni dei trasferimenti e dei vincoli sulle spese di personale. </w:t>
      </w:r>
    </w:p>
    <w:p w:rsidR="00457C6B" w:rsidRDefault="0047703E">
      <w:pPr>
        <w:jc w:val="both"/>
        <w:rPr>
          <w:rFonts w:ascii="Arial" w:hAnsi="Arial" w:cs="Arial"/>
          <w:sz w:val="22"/>
          <w:szCs w:val="22"/>
        </w:rPr>
      </w:pPr>
      <w:r>
        <w:rPr>
          <w:rFonts w:ascii="Arial" w:hAnsi="Arial" w:cs="Arial"/>
          <w:sz w:val="22"/>
          <w:szCs w:val="22"/>
        </w:rPr>
        <w:br w:type="page"/>
      </w:r>
    </w:p>
    <w:p w:rsidR="00457C6B" w:rsidRDefault="00457C6B">
      <w:pPr>
        <w:tabs>
          <w:tab w:val="left" w:pos="7050"/>
        </w:tabs>
        <w:jc w:val="both"/>
        <w:rPr>
          <w:rFonts w:ascii="Arial" w:hAnsi="Arial" w:cs="Arial"/>
          <w:sz w:val="20"/>
        </w:rPr>
      </w:pPr>
    </w:p>
    <w:p w:rsidR="00457C6B" w:rsidRDefault="0047703E">
      <w:pPr>
        <w:jc w:val="center"/>
        <w:rPr>
          <w:rFonts w:ascii="Arial" w:hAnsi="Arial" w:cs="Arial"/>
          <w:color w:val="0000FF"/>
          <w:sz w:val="20"/>
          <w:szCs w:val="18"/>
        </w:rPr>
      </w:pPr>
      <w:r>
        <w:rPr>
          <w:rFonts w:ascii="Arial" w:hAnsi="Arial" w:cs="Arial"/>
          <w:color w:val="0000FF"/>
          <w:sz w:val="20"/>
          <w:szCs w:val="18"/>
        </w:rPr>
        <w:t>(eventuale)</w:t>
      </w:r>
    </w:p>
    <w:p w:rsidR="00457C6B" w:rsidRDefault="00457C6B">
      <w:pPr>
        <w:jc w:val="both"/>
        <w:rPr>
          <w:rFonts w:ascii="Arial" w:hAnsi="Arial" w:cs="Arial"/>
          <w:b/>
          <w:sz w:val="20"/>
        </w:rPr>
      </w:pPr>
    </w:p>
    <w:p w:rsidR="00457C6B" w:rsidRDefault="0047703E">
      <w:pPr>
        <w:jc w:val="both"/>
        <w:rPr>
          <w:rFonts w:ascii="Arial" w:hAnsi="Arial" w:cs="Arial"/>
          <w:sz w:val="22"/>
          <w:szCs w:val="22"/>
        </w:rPr>
      </w:pPr>
      <w:r>
        <w:rPr>
          <w:rFonts w:ascii="Arial" w:hAnsi="Arial" w:cs="Arial"/>
          <w:sz w:val="22"/>
          <w:szCs w:val="22"/>
        </w:rPr>
        <w:t>Le previsioni pluriennali 2015-2017, suddivise per titoli, presentano la seguente evoluzione:</w:t>
      </w:r>
    </w:p>
    <w:p w:rsidR="00AC22B5" w:rsidRDefault="00AC22B5">
      <w:pPr>
        <w:jc w:val="both"/>
        <w:rPr>
          <w:rFonts w:ascii="Arial" w:hAnsi="Arial" w:cs="Arial"/>
          <w:sz w:val="22"/>
          <w:szCs w:val="22"/>
        </w:rPr>
      </w:pPr>
      <w:r w:rsidRPr="00B771D5">
        <w:rPr>
          <w:rFonts w:ascii="Arial" w:hAnsi="Arial" w:cs="Arial"/>
          <w:sz w:val="22"/>
          <w:szCs w:val="22"/>
        </w:rPr>
        <w:object w:dxaOrig="9759" w:dyaOrig="5289">
          <v:shape id="_x0000_i1058" type="#_x0000_t75" style="width:487.7pt;height:264.25pt" o:ole="">
            <v:imagedata r:id="rId88" o:title=""/>
          </v:shape>
          <o:OLEObject Type="Embed" ProgID="Excel.Sheet.8" ShapeID="_x0000_i1058" DrawAspect="Content" ObjectID="_1484374359" r:id="rId89"/>
        </w:object>
      </w:r>
    </w:p>
    <w:p w:rsidR="00FB57D0" w:rsidRDefault="00FB57D0">
      <w:pPr>
        <w:jc w:val="both"/>
        <w:rPr>
          <w:rFonts w:ascii="Arial" w:hAnsi="Arial" w:cs="Arial"/>
          <w:sz w:val="22"/>
          <w:szCs w:val="22"/>
        </w:rPr>
      </w:pPr>
    </w:p>
    <w:p w:rsidR="00457C6B" w:rsidRDefault="00457C6B">
      <w:pPr>
        <w:jc w:val="both"/>
        <w:rPr>
          <w:rFonts w:ascii="Arial" w:hAnsi="Arial" w:cs="Arial"/>
          <w:sz w:val="22"/>
          <w:szCs w:val="22"/>
        </w:rPr>
      </w:pPr>
    </w:p>
    <w:p w:rsidR="00457C6B" w:rsidRDefault="00457C6B">
      <w:pPr>
        <w:rPr>
          <w:rFonts w:ascii="Arial" w:hAnsi="Arial" w:cs="Arial"/>
          <w:sz w:val="22"/>
          <w:szCs w:val="22"/>
        </w:rPr>
      </w:pPr>
    </w:p>
    <w:p w:rsidR="00AC22B5" w:rsidRDefault="0047703E">
      <w:pPr>
        <w:rPr>
          <w:rFonts w:ascii="Arial" w:hAnsi="Arial" w:cs="Arial"/>
          <w:sz w:val="22"/>
          <w:szCs w:val="22"/>
        </w:rPr>
      </w:pPr>
      <w:r>
        <w:rPr>
          <w:rFonts w:ascii="Arial" w:hAnsi="Arial" w:cs="Arial"/>
          <w:sz w:val="22"/>
          <w:szCs w:val="22"/>
        </w:rPr>
        <w:t xml:space="preserve">Le previsioni pluriennali di spesa corrente suddivise per intervento presentano la seguente </w:t>
      </w:r>
    </w:p>
    <w:p w:rsidR="00457C6B" w:rsidRDefault="0047703E">
      <w:pPr>
        <w:rPr>
          <w:rFonts w:ascii="Arial" w:hAnsi="Arial" w:cs="Arial"/>
          <w:sz w:val="22"/>
          <w:szCs w:val="22"/>
        </w:rPr>
      </w:pPr>
      <w:r>
        <w:rPr>
          <w:rFonts w:ascii="Arial" w:hAnsi="Arial" w:cs="Arial"/>
          <w:sz w:val="22"/>
          <w:szCs w:val="22"/>
        </w:rPr>
        <w:t>evoluzione:</w:t>
      </w:r>
    </w:p>
    <w:bookmarkStart w:id="43" w:name="_MON_1483876746"/>
    <w:bookmarkEnd w:id="43"/>
    <w:p w:rsidR="00AC22B5" w:rsidRDefault="00AC22B5">
      <w:pPr>
        <w:rPr>
          <w:rFonts w:ascii="Arial" w:hAnsi="Arial" w:cs="Arial"/>
          <w:sz w:val="22"/>
          <w:szCs w:val="22"/>
        </w:rPr>
      </w:pPr>
      <w:r w:rsidRPr="00B771D5">
        <w:rPr>
          <w:rFonts w:ascii="Arial" w:hAnsi="Arial" w:cs="Arial"/>
          <w:sz w:val="22"/>
          <w:szCs w:val="22"/>
        </w:rPr>
        <w:object w:dxaOrig="10062" w:dyaOrig="3573">
          <v:shape id="_x0000_i1059" type="#_x0000_t75" style="width:503.3pt;height:178.65pt" o:ole="">
            <v:imagedata r:id="rId90" o:title=""/>
          </v:shape>
          <o:OLEObject Type="Embed" ProgID="Excel.Sheet.8" ShapeID="_x0000_i1059" DrawAspect="Content" ObjectID="_1484374360" r:id="rId91"/>
        </w:object>
      </w:r>
    </w:p>
    <w:tbl>
      <w:tblPr>
        <w:tblW w:w="9560" w:type="dxa"/>
        <w:tblInd w:w="55" w:type="dxa"/>
        <w:tblCellMar>
          <w:left w:w="70" w:type="dxa"/>
          <w:right w:w="70" w:type="dxa"/>
        </w:tblCellMar>
        <w:tblLook w:val="00A0"/>
      </w:tblPr>
      <w:tblGrid>
        <w:gridCol w:w="400"/>
        <w:gridCol w:w="3300"/>
        <w:gridCol w:w="1340"/>
        <w:gridCol w:w="1340"/>
        <w:gridCol w:w="920"/>
        <w:gridCol w:w="1340"/>
        <w:gridCol w:w="920"/>
      </w:tblGrid>
      <w:tr w:rsidR="00457C6B">
        <w:trPr>
          <w:trHeight w:val="285"/>
        </w:trPr>
        <w:tc>
          <w:tcPr>
            <w:tcW w:w="400" w:type="dxa"/>
            <w:tcBorders>
              <w:top w:val="nil"/>
              <w:left w:val="nil"/>
              <w:bottom w:val="nil"/>
              <w:right w:val="nil"/>
            </w:tcBorders>
            <w:noWrap/>
            <w:vAlign w:val="center"/>
          </w:tcPr>
          <w:p w:rsidR="00457C6B" w:rsidRDefault="00457C6B">
            <w:pPr>
              <w:jc w:val="center"/>
              <w:rPr>
                <w:rFonts w:ascii="Arial" w:hAnsi="Arial" w:cs="Arial"/>
                <w:sz w:val="18"/>
                <w:szCs w:val="18"/>
              </w:rPr>
            </w:pPr>
          </w:p>
        </w:tc>
        <w:tc>
          <w:tcPr>
            <w:tcW w:w="3300" w:type="dxa"/>
            <w:tcBorders>
              <w:top w:val="nil"/>
              <w:left w:val="nil"/>
              <w:bottom w:val="nil"/>
              <w:right w:val="nil"/>
            </w:tcBorders>
            <w:vAlign w:val="center"/>
          </w:tcPr>
          <w:p w:rsidR="00457C6B" w:rsidRDefault="00457C6B">
            <w:pPr>
              <w:rPr>
                <w:rFonts w:ascii="Arial" w:hAnsi="Arial" w:cs="Arial"/>
                <w:sz w:val="18"/>
                <w:szCs w:val="18"/>
              </w:rPr>
            </w:pPr>
          </w:p>
        </w:tc>
        <w:tc>
          <w:tcPr>
            <w:tcW w:w="1340" w:type="dxa"/>
            <w:tcBorders>
              <w:top w:val="nil"/>
              <w:left w:val="nil"/>
              <w:bottom w:val="nil"/>
              <w:right w:val="nil"/>
            </w:tcBorders>
            <w:vAlign w:val="center"/>
          </w:tcPr>
          <w:p w:rsidR="00457C6B" w:rsidRDefault="00457C6B">
            <w:pPr>
              <w:jc w:val="center"/>
              <w:rPr>
                <w:rFonts w:ascii="Arial" w:hAnsi="Arial" w:cs="Arial"/>
                <w:sz w:val="18"/>
                <w:szCs w:val="18"/>
              </w:rPr>
            </w:pPr>
          </w:p>
        </w:tc>
        <w:tc>
          <w:tcPr>
            <w:tcW w:w="1340" w:type="dxa"/>
            <w:tcBorders>
              <w:top w:val="nil"/>
              <w:left w:val="nil"/>
              <w:bottom w:val="nil"/>
              <w:right w:val="nil"/>
            </w:tcBorders>
            <w:vAlign w:val="center"/>
          </w:tcPr>
          <w:p w:rsidR="00457C6B" w:rsidRDefault="00457C6B">
            <w:pPr>
              <w:jc w:val="center"/>
              <w:rPr>
                <w:rFonts w:ascii="Arial" w:hAnsi="Arial" w:cs="Arial"/>
                <w:sz w:val="18"/>
                <w:szCs w:val="18"/>
              </w:rPr>
            </w:pPr>
          </w:p>
        </w:tc>
        <w:tc>
          <w:tcPr>
            <w:tcW w:w="920" w:type="dxa"/>
            <w:tcBorders>
              <w:top w:val="nil"/>
              <w:left w:val="nil"/>
              <w:bottom w:val="nil"/>
              <w:right w:val="nil"/>
            </w:tcBorders>
            <w:vAlign w:val="center"/>
          </w:tcPr>
          <w:p w:rsidR="00457C6B" w:rsidRDefault="00457C6B">
            <w:pPr>
              <w:jc w:val="center"/>
              <w:rPr>
                <w:rFonts w:ascii="Arial" w:hAnsi="Arial" w:cs="Arial"/>
                <w:sz w:val="18"/>
                <w:szCs w:val="18"/>
              </w:rPr>
            </w:pPr>
          </w:p>
        </w:tc>
        <w:tc>
          <w:tcPr>
            <w:tcW w:w="1340" w:type="dxa"/>
            <w:tcBorders>
              <w:top w:val="nil"/>
              <w:left w:val="nil"/>
              <w:bottom w:val="nil"/>
              <w:right w:val="nil"/>
            </w:tcBorders>
            <w:vAlign w:val="center"/>
          </w:tcPr>
          <w:p w:rsidR="00457C6B" w:rsidRDefault="00457C6B">
            <w:pPr>
              <w:jc w:val="center"/>
              <w:rPr>
                <w:rFonts w:ascii="Arial" w:hAnsi="Arial" w:cs="Arial"/>
                <w:sz w:val="18"/>
                <w:szCs w:val="18"/>
              </w:rPr>
            </w:pPr>
          </w:p>
        </w:tc>
        <w:tc>
          <w:tcPr>
            <w:tcW w:w="920" w:type="dxa"/>
            <w:tcBorders>
              <w:top w:val="nil"/>
              <w:left w:val="nil"/>
              <w:bottom w:val="nil"/>
              <w:right w:val="nil"/>
            </w:tcBorders>
            <w:noWrap/>
            <w:vAlign w:val="bottom"/>
          </w:tcPr>
          <w:p w:rsidR="00457C6B" w:rsidRDefault="00457C6B">
            <w:pPr>
              <w:jc w:val="right"/>
              <w:rPr>
                <w:rFonts w:ascii="Arial" w:hAnsi="Arial" w:cs="Arial"/>
                <w:sz w:val="16"/>
                <w:szCs w:val="16"/>
              </w:rPr>
            </w:pPr>
          </w:p>
        </w:tc>
      </w:tr>
    </w:tbl>
    <w:p w:rsidR="00457C6B" w:rsidRDefault="00457C6B">
      <w:pPr>
        <w:jc w:val="center"/>
        <w:rPr>
          <w:rFonts w:ascii="Arial" w:hAnsi="Arial" w:cs="Arial"/>
          <w:sz w:val="20"/>
        </w:rPr>
      </w:pPr>
    </w:p>
    <w:p w:rsidR="00457C6B" w:rsidRDefault="0047703E">
      <w:pPr>
        <w:jc w:val="both"/>
        <w:rPr>
          <w:rFonts w:ascii="Arial" w:hAnsi="Arial" w:cs="Arial"/>
          <w:sz w:val="22"/>
          <w:szCs w:val="22"/>
        </w:rPr>
      </w:pPr>
      <w:r>
        <w:rPr>
          <w:rFonts w:ascii="Arial" w:hAnsi="Arial" w:cs="Arial"/>
          <w:sz w:val="22"/>
          <w:szCs w:val="22"/>
        </w:rPr>
        <w:t xml:space="preserve">Per quanto riguarda le spese di personale è stato previsto un andamento coerente con quanto indicato nell’atto di programmazione triennale del fabbisogno </w:t>
      </w:r>
      <w:r>
        <w:rPr>
          <w:rFonts w:ascii="Arial" w:hAnsi="Arial" w:cs="Arial"/>
          <w:color w:val="0000FF"/>
          <w:sz w:val="20"/>
          <w:szCs w:val="20"/>
        </w:rPr>
        <w:t>(da aggiornare per il triennio</w:t>
      </w:r>
      <w:r>
        <w:rPr>
          <w:rFonts w:ascii="Arial" w:hAnsi="Arial" w:cs="Arial"/>
          <w:b/>
          <w:color w:val="0070C0"/>
          <w:sz w:val="22"/>
          <w:szCs w:val="22"/>
        </w:rPr>
        <w:t xml:space="preserve"> </w:t>
      </w:r>
      <w:r>
        <w:rPr>
          <w:rFonts w:ascii="Arial" w:hAnsi="Arial" w:cs="Arial"/>
          <w:color w:val="0000FF"/>
          <w:sz w:val="20"/>
          <w:szCs w:val="20"/>
        </w:rPr>
        <w:t>2015/2017</w:t>
      </w:r>
      <w:r>
        <w:rPr>
          <w:rFonts w:ascii="Arial" w:hAnsi="Arial" w:cs="Arial"/>
          <w:color w:val="0000FF"/>
          <w:sz w:val="22"/>
          <w:szCs w:val="22"/>
        </w:rPr>
        <w:t>)</w:t>
      </w:r>
      <w:r>
        <w:rPr>
          <w:rFonts w:ascii="Arial" w:hAnsi="Arial" w:cs="Arial"/>
          <w:sz w:val="22"/>
          <w:szCs w:val="22"/>
        </w:rPr>
        <w:t xml:space="preserve"> e con la rideterminazione della pianta organica dell’ente.</w:t>
      </w:r>
    </w:p>
    <w:p w:rsidR="00457C6B" w:rsidRDefault="00457C6B">
      <w:pPr>
        <w:jc w:val="both"/>
        <w:rPr>
          <w:rFonts w:ascii="Arial" w:hAnsi="Arial" w:cs="Arial"/>
          <w:sz w:val="22"/>
          <w:szCs w:val="22"/>
        </w:rPr>
      </w:pPr>
      <w:bookmarkStart w:id="44" w:name="OLE_LINK4"/>
    </w:p>
    <w:p w:rsidR="00457C6B" w:rsidRDefault="0047703E">
      <w:pPr>
        <w:jc w:val="both"/>
        <w:rPr>
          <w:rFonts w:ascii="Arial" w:hAnsi="Arial" w:cs="Arial"/>
          <w:sz w:val="22"/>
          <w:szCs w:val="22"/>
        </w:rPr>
      </w:pPr>
      <w:r>
        <w:rPr>
          <w:rFonts w:ascii="Arial" w:hAnsi="Arial" w:cs="Arial"/>
          <w:sz w:val="22"/>
          <w:szCs w:val="22"/>
        </w:rPr>
        <w:t xml:space="preserve">In merito alle altre previsioni si osserva: </w:t>
      </w:r>
      <w:proofErr w:type="spellStart"/>
      <w:r>
        <w:rPr>
          <w:rFonts w:ascii="Arial" w:hAnsi="Arial" w:cs="Arial"/>
          <w:sz w:val="22"/>
          <w:szCs w:val="22"/>
        </w:rPr>
        <w:t>…………………</w:t>
      </w:r>
      <w:proofErr w:type="spellEnd"/>
    </w:p>
    <w:bookmarkEnd w:id="44"/>
    <w:p w:rsidR="00457C6B" w:rsidRDefault="00457C6B">
      <w:pPr>
        <w:jc w:val="both"/>
        <w:rPr>
          <w:rFonts w:ascii="Arial" w:hAnsi="Arial" w:cs="Arial"/>
          <w:sz w:val="20"/>
        </w:rPr>
      </w:pPr>
    </w:p>
    <w:p w:rsidR="00457C6B" w:rsidRDefault="0047703E">
      <w:pPr>
        <w:pStyle w:val="Intestazione"/>
        <w:tabs>
          <w:tab w:val="left" w:pos="708"/>
        </w:tabs>
        <w:spacing w:after="0"/>
        <w:rPr>
          <w:rFonts w:cs="Arial"/>
          <w:sz w:val="22"/>
          <w:szCs w:val="22"/>
        </w:rPr>
      </w:pPr>
      <w:r>
        <w:rPr>
          <w:rFonts w:cs="Arial"/>
          <w:sz w:val="22"/>
          <w:szCs w:val="22"/>
        </w:rPr>
        <w:t>La spesa in conto capitale prevista nel bilancio pluriennale risulta così finanziata:</w:t>
      </w:r>
    </w:p>
    <w:p w:rsidR="00AC22B5" w:rsidRDefault="00AC22B5">
      <w:pPr>
        <w:pStyle w:val="Intestazione"/>
        <w:tabs>
          <w:tab w:val="left" w:pos="708"/>
        </w:tabs>
        <w:spacing w:after="0"/>
        <w:rPr>
          <w:rFonts w:cs="Arial"/>
          <w:sz w:val="22"/>
          <w:szCs w:val="22"/>
        </w:rPr>
      </w:pPr>
      <w:r w:rsidRPr="00B771D5">
        <w:rPr>
          <w:rFonts w:cs="Arial"/>
          <w:sz w:val="22"/>
          <w:szCs w:val="22"/>
        </w:rPr>
        <w:object w:dxaOrig="9982" w:dyaOrig="4764">
          <v:shape id="_x0000_i1060" type="#_x0000_t75" style="width:499.25pt;height:238.4pt" o:ole="">
            <v:imagedata r:id="rId92" o:title=""/>
          </v:shape>
          <o:OLEObject Type="Embed" ProgID="Excel.Sheet.8" ShapeID="_x0000_i1060" DrawAspect="Content" ObjectID="_1484374361" r:id="rId93"/>
        </w:object>
      </w:r>
    </w:p>
    <w:p w:rsidR="00457C6B" w:rsidRDefault="00457C6B">
      <w:pPr>
        <w:pStyle w:val="Intestazione"/>
        <w:tabs>
          <w:tab w:val="left" w:pos="708"/>
        </w:tabs>
        <w:spacing w:after="0"/>
        <w:rPr>
          <w:rFonts w:cs="Arial"/>
          <w:sz w:val="22"/>
          <w:szCs w:val="22"/>
        </w:rPr>
      </w:pPr>
    </w:p>
    <w:p w:rsidR="00457C6B" w:rsidRDefault="00457C6B">
      <w:pPr>
        <w:jc w:val="both"/>
        <w:rPr>
          <w:rFonts w:ascii="Arial" w:hAnsi="Arial" w:cs="Arial"/>
          <w:sz w:val="20"/>
        </w:rPr>
      </w:pPr>
    </w:p>
    <w:p w:rsidR="00457C6B" w:rsidRDefault="0047703E">
      <w:pPr>
        <w:jc w:val="both"/>
        <w:rPr>
          <w:rFonts w:ascii="Arial" w:hAnsi="Arial" w:cs="Arial"/>
          <w:sz w:val="22"/>
          <w:szCs w:val="22"/>
        </w:rPr>
      </w:pPr>
      <w:r>
        <w:rPr>
          <w:rFonts w:ascii="Arial" w:hAnsi="Arial" w:cs="Arial"/>
          <w:sz w:val="22"/>
          <w:szCs w:val="22"/>
        </w:rPr>
        <w:t xml:space="preserve">In merito a tali previsioni si osserva: </w:t>
      </w:r>
      <w:proofErr w:type="spellStart"/>
      <w:r>
        <w:rPr>
          <w:rFonts w:ascii="Arial" w:hAnsi="Arial" w:cs="Arial"/>
          <w:sz w:val="22"/>
          <w:szCs w:val="22"/>
        </w:rPr>
        <w:t>…………………</w:t>
      </w:r>
      <w:proofErr w:type="spellEnd"/>
    </w:p>
    <w:p w:rsidR="00457C6B" w:rsidRDefault="0047703E">
      <w:pPr>
        <w:numPr>
          <w:ilvl w:val="0"/>
          <w:numId w:val="16"/>
        </w:numPr>
        <w:spacing w:before="120"/>
        <w:ind w:left="357" w:hanging="357"/>
        <w:rPr>
          <w:rFonts w:ascii="Arial" w:hAnsi="Arial" w:cs="Arial"/>
          <w:sz w:val="22"/>
          <w:szCs w:val="22"/>
          <w:u w:val="single"/>
        </w:rPr>
      </w:pPr>
      <w:r>
        <w:rPr>
          <w:rFonts w:ascii="Arial" w:hAnsi="Arial" w:cs="Arial"/>
          <w:sz w:val="22"/>
          <w:szCs w:val="22"/>
          <w:u w:val="single"/>
        </w:rPr>
        <w:t>finanziamento con alienazione di beni immobili</w:t>
      </w:r>
    </w:p>
    <w:p w:rsidR="00457C6B" w:rsidRDefault="0047703E">
      <w:pPr>
        <w:ind w:left="360"/>
        <w:rPr>
          <w:rFonts w:ascii="Arial" w:hAnsi="Arial" w:cs="Arial"/>
          <w:sz w:val="22"/>
          <w:szCs w:val="22"/>
        </w:rPr>
      </w:pPr>
      <w:r>
        <w:rPr>
          <w:rFonts w:ascii="Arial" w:hAnsi="Arial" w:cs="Arial"/>
          <w:sz w:val="22"/>
          <w:szCs w:val="22"/>
        </w:rPr>
        <w:t>I proventi previsti sono attendibili in relazione all’identificazione dei beni immobili da cedere ed alle stime del valore di mercato effettuate dall’ente;</w:t>
      </w:r>
    </w:p>
    <w:p w:rsidR="00457C6B" w:rsidRDefault="0047703E">
      <w:pPr>
        <w:numPr>
          <w:ilvl w:val="0"/>
          <w:numId w:val="16"/>
        </w:numPr>
        <w:spacing w:before="120"/>
        <w:ind w:left="357" w:hanging="357"/>
        <w:rPr>
          <w:rFonts w:ascii="Arial" w:hAnsi="Arial" w:cs="Arial"/>
          <w:sz w:val="22"/>
          <w:szCs w:val="22"/>
          <w:u w:val="single"/>
        </w:rPr>
      </w:pPr>
      <w:r>
        <w:rPr>
          <w:rFonts w:ascii="Arial" w:hAnsi="Arial" w:cs="Arial"/>
          <w:sz w:val="22"/>
          <w:szCs w:val="22"/>
          <w:u w:val="single"/>
        </w:rPr>
        <w:t>trasferimenti di capitale</w:t>
      </w:r>
    </w:p>
    <w:p w:rsidR="00457C6B" w:rsidRDefault="0047703E">
      <w:pPr>
        <w:ind w:left="360"/>
        <w:rPr>
          <w:rFonts w:ascii="Arial" w:hAnsi="Arial" w:cs="Arial"/>
          <w:sz w:val="22"/>
          <w:szCs w:val="22"/>
        </w:rPr>
      </w:pPr>
      <w:r>
        <w:rPr>
          <w:rFonts w:ascii="Arial" w:hAnsi="Arial" w:cs="Arial"/>
          <w:sz w:val="22"/>
          <w:szCs w:val="22"/>
        </w:rPr>
        <w:t xml:space="preserve">I trasferimenti di capitale previsti sono attendibili in relazione ai seguenti elementi </w:t>
      </w:r>
      <w:proofErr w:type="spellStart"/>
      <w:r>
        <w:rPr>
          <w:rFonts w:ascii="Arial" w:hAnsi="Arial" w:cs="Arial"/>
          <w:sz w:val="22"/>
          <w:szCs w:val="22"/>
        </w:rPr>
        <w:t>………</w:t>
      </w:r>
      <w:proofErr w:type="spellEnd"/>
      <w:r>
        <w:rPr>
          <w:rFonts w:ascii="Arial" w:hAnsi="Arial" w:cs="Arial"/>
          <w:sz w:val="22"/>
          <w:szCs w:val="22"/>
        </w:rPr>
        <w:t>.</w:t>
      </w:r>
    </w:p>
    <w:p w:rsidR="00457C6B" w:rsidRDefault="0047703E">
      <w:pPr>
        <w:numPr>
          <w:ilvl w:val="0"/>
          <w:numId w:val="16"/>
        </w:numPr>
        <w:spacing w:before="120"/>
        <w:ind w:left="357" w:hanging="357"/>
        <w:rPr>
          <w:rFonts w:ascii="Arial" w:hAnsi="Arial" w:cs="Arial"/>
          <w:sz w:val="22"/>
          <w:szCs w:val="22"/>
          <w:u w:val="single"/>
        </w:rPr>
      </w:pPr>
      <w:r>
        <w:rPr>
          <w:rFonts w:ascii="Arial" w:hAnsi="Arial" w:cs="Arial"/>
          <w:sz w:val="22"/>
          <w:szCs w:val="22"/>
          <w:u w:val="single"/>
        </w:rPr>
        <w:t>finanziamenti con prestiti</w:t>
      </w:r>
    </w:p>
    <w:p w:rsidR="00457C6B" w:rsidRDefault="0047703E">
      <w:pPr>
        <w:ind w:left="360"/>
        <w:rPr>
          <w:rFonts w:ascii="Arial" w:hAnsi="Arial" w:cs="Arial"/>
          <w:sz w:val="22"/>
          <w:szCs w:val="22"/>
        </w:rPr>
      </w:pPr>
      <w:r>
        <w:rPr>
          <w:rFonts w:ascii="Arial" w:hAnsi="Arial" w:cs="Arial"/>
          <w:sz w:val="22"/>
          <w:szCs w:val="22"/>
        </w:rPr>
        <w:t>I finanziamenti con prestiti sono così distinti:</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aperture di credito </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prestito obbligazionario</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prestito obbligazionario in pool</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assunzione di mutui flessibili</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assunzione di mutui</w:t>
      </w:r>
    </w:p>
    <w:p w:rsidR="00457C6B" w:rsidRDefault="0047703E">
      <w:pPr>
        <w:numPr>
          <w:ilvl w:val="0"/>
          <w:numId w:val="12"/>
        </w:numPr>
        <w:tabs>
          <w:tab w:val="num" w:pos="720"/>
        </w:tabs>
        <w:ind w:left="720"/>
        <w:rPr>
          <w:rFonts w:ascii="Arial" w:hAnsi="Arial" w:cs="Arial"/>
          <w:sz w:val="22"/>
          <w:szCs w:val="22"/>
        </w:rPr>
      </w:pPr>
      <w:r>
        <w:rPr>
          <w:rFonts w:ascii="Arial" w:hAnsi="Arial" w:cs="Arial"/>
          <w:sz w:val="22"/>
          <w:szCs w:val="22"/>
        </w:rPr>
        <w:t xml:space="preserve">euro </w:t>
      </w:r>
      <w:proofErr w:type="spellStart"/>
      <w:r>
        <w:rPr>
          <w:rFonts w:ascii="Arial" w:hAnsi="Arial" w:cs="Arial"/>
          <w:sz w:val="22"/>
          <w:szCs w:val="22"/>
        </w:rPr>
        <w:t>…………………</w:t>
      </w:r>
      <w:proofErr w:type="spellEnd"/>
      <w:r>
        <w:rPr>
          <w:rFonts w:ascii="Arial" w:hAnsi="Arial" w:cs="Arial"/>
          <w:sz w:val="22"/>
          <w:szCs w:val="22"/>
        </w:rPr>
        <w:t xml:space="preserve">  con cartolarizzazione </w:t>
      </w:r>
      <w:r>
        <w:rPr>
          <w:rFonts w:ascii="Arial" w:hAnsi="Arial" w:cs="Arial"/>
          <w:color w:val="0000FF"/>
          <w:sz w:val="20"/>
          <w:szCs w:val="20"/>
        </w:rPr>
        <w:t>(specificare il tipo).</w:t>
      </w:r>
    </w:p>
    <w:p w:rsidR="00457C6B" w:rsidRDefault="0047703E">
      <w:pPr>
        <w:numPr>
          <w:ilvl w:val="0"/>
          <w:numId w:val="12"/>
        </w:numPr>
        <w:tabs>
          <w:tab w:val="num" w:pos="720"/>
        </w:tabs>
        <w:ind w:left="720"/>
        <w:rPr>
          <w:rFonts w:ascii="Arial" w:hAnsi="Arial" w:cs="Arial"/>
          <w:sz w:val="22"/>
          <w:szCs w:val="22"/>
        </w:rPr>
      </w:pPr>
      <w:proofErr w:type="spellStart"/>
      <w:r>
        <w:rPr>
          <w:rFonts w:ascii="Arial" w:hAnsi="Arial" w:cs="Arial"/>
          <w:sz w:val="22"/>
          <w:szCs w:val="22"/>
        </w:rPr>
        <w:t>Euro…………………</w:t>
      </w:r>
      <w:proofErr w:type="spellEnd"/>
      <w:r>
        <w:rPr>
          <w:rFonts w:ascii="Arial" w:hAnsi="Arial" w:cs="Arial"/>
          <w:sz w:val="22"/>
          <w:szCs w:val="22"/>
        </w:rPr>
        <w:t>. con leasing finanziario</w:t>
      </w:r>
    </w:p>
    <w:p w:rsidR="00457C6B" w:rsidRDefault="00457C6B">
      <w:pPr>
        <w:rPr>
          <w:rFonts w:ascii="Arial" w:hAnsi="Arial" w:cs="Arial"/>
          <w:sz w:val="22"/>
          <w:szCs w:val="22"/>
        </w:rPr>
      </w:pPr>
    </w:p>
    <w:p w:rsidR="00457C6B" w:rsidRDefault="0047703E">
      <w:pPr>
        <w:rPr>
          <w:rFonts w:ascii="Arial" w:hAnsi="Arial" w:cs="Arial"/>
          <w:sz w:val="22"/>
          <w:szCs w:val="22"/>
        </w:rPr>
      </w:pPr>
      <w:r>
        <w:rPr>
          <w:rFonts w:ascii="Arial" w:hAnsi="Arial" w:cs="Arial"/>
          <w:sz w:val="22"/>
          <w:szCs w:val="22"/>
        </w:rPr>
        <w:t>Le risorse derivanti da indebitamento sono integralmente destinate a spese d’investimento.</w:t>
      </w: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7703E" w:rsidP="00282F4C">
      <w:pPr>
        <w:rPr>
          <w:rFonts w:ascii="Arial" w:hAnsi="Arial" w:cs="Arial"/>
          <w:b/>
          <w:sz w:val="28"/>
          <w:szCs w:val="28"/>
        </w:rPr>
      </w:pPr>
      <w:r>
        <w:rPr>
          <w:rFonts w:ascii="Arial" w:hAnsi="Arial" w:cs="Arial"/>
          <w:sz w:val="22"/>
          <w:szCs w:val="22"/>
        </w:rPr>
        <w:br w:type="page"/>
      </w:r>
      <w:r>
        <w:rPr>
          <w:rFonts w:ascii="Arial" w:hAnsi="Arial" w:cs="Arial"/>
          <w:b/>
          <w:sz w:val="28"/>
          <w:szCs w:val="28"/>
        </w:rPr>
        <w:lastRenderedPageBreak/>
        <w:t>SCHEMA BILANCIO ARMONIZZATO</w:t>
      </w:r>
    </w:p>
    <w:p w:rsidR="00457C6B" w:rsidRDefault="00457C6B">
      <w:pPr>
        <w:rPr>
          <w:rFonts w:ascii="Arial" w:hAnsi="Arial" w:cs="Arial"/>
          <w:sz w:val="22"/>
          <w:szCs w:val="22"/>
        </w:rPr>
      </w:pPr>
    </w:p>
    <w:p w:rsidR="00457C6B" w:rsidRDefault="0047703E">
      <w:pPr>
        <w:rPr>
          <w:rFonts w:ascii="Arial" w:hAnsi="Arial" w:cs="Arial"/>
          <w:sz w:val="22"/>
          <w:szCs w:val="22"/>
        </w:rPr>
      </w:pPr>
      <w:r>
        <w:rPr>
          <w:rFonts w:ascii="Arial" w:hAnsi="Arial" w:cs="Arial"/>
          <w:sz w:val="22"/>
          <w:szCs w:val="22"/>
        </w:rPr>
        <w:t>lo schema di bilancio per missioni e programma previsto dall’allegato n. 9 al decreto legislativo n 118 del 2011, integrato e corretto dal decreto legislativo n. 126 del 2014, ai fini conoscitivi è il seguente:</w:t>
      </w:r>
    </w:p>
    <w:p w:rsidR="00AC22B5" w:rsidRDefault="00AC22B5" w:rsidP="00AC22B5">
      <w:pPr>
        <w:pStyle w:val="Sottotitolo"/>
        <w:numPr>
          <w:ilvl w:val="1"/>
          <w:numId w:val="16"/>
        </w:numPr>
        <w:jc w:val="left"/>
        <w:rPr>
          <w:rFonts w:ascii="Arial" w:hAnsi="Arial" w:cs="Arial"/>
          <w:b/>
        </w:rPr>
      </w:pPr>
      <w:r>
        <w:rPr>
          <w:rFonts w:ascii="Arial" w:hAnsi="Arial" w:cs="Arial"/>
          <w:b/>
        </w:rPr>
        <w:t>Entrate previsioni di competenza</w:t>
      </w:r>
    </w:p>
    <w:p w:rsidR="00AC22B5" w:rsidRDefault="00AC22B5">
      <w:pPr>
        <w:rPr>
          <w:rFonts w:ascii="Arial" w:hAnsi="Arial" w:cs="Arial"/>
          <w:sz w:val="22"/>
          <w:szCs w:val="22"/>
        </w:rPr>
      </w:pPr>
    </w:p>
    <w:p w:rsidR="00AC22B5" w:rsidRDefault="00AC22B5">
      <w:pPr>
        <w:rPr>
          <w:rFonts w:ascii="Arial" w:hAnsi="Arial" w:cs="Arial"/>
          <w:sz w:val="22"/>
          <w:szCs w:val="22"/>
        </w:rPr>
      </w:pPr>
      <w:r w:rsidRPr="00B771D5">
        <w:rPr>
          <w:rFonts w:ascii="Arial" w:hAnsi="Arial" w:cs="Arial"/>
          <w:sz w:val="22"/>
          <w:szCs w:val="22"/>
        </w:rPr>
        <w:object w:dxaOrig="8226" w:dyaOrig="8483">
          <v:shape id="_x0000_i1061" type="#_x0000_t75" style="width:411.6pt;height:423.85pt" o:ole="">
            <v:imagedata r:id="rId94" o:title=""/>
          </v:shape>
          <o:OLEObject Type="Embed" ProgID="Excel.Sheet.8" ShapeID="_x0000_i1061" DrawAspect="Content" ObjectID="_1484374362" r:id="rId95"/>
        </w:object>
      </w:r>
    </w:p>
    <w:p w:rsidR="00457C6B" w:rsidRDefault="00457C6B">
      <w:pPr>
        <w:rPr>
          <w:rFonts w:ascii="Arial" w:hAnsi="Arial" w:cs="Arial"/>
          <w:sz w:val="22"/>
          <w:szCs w:val="22"/>
        </w:rPr>
      </w:pPr>
    </w:p>
    <w:p w:rsidR="00457C6B" w:rsidRDefault="00457C6B">
      <w:pPr>
        <w:rPr>
          <w:rFonts w:ascii="Arial" w:hAnsi="Arial" w:cs="Arial"/>
          <w:sz w:val="22"/>
          <w:szCs w:val="22"/>
        </w:rPr>
      </w:pPr>
    </w:p>
    <w:p w:rsidR="00AC22B5" w:rsidRDefault="00AC22B5" w:rsidP="00282F4C"/>
    <w:p w:rsidR="00282F4C" w:rsidRPr="00282F4C" w:rsidRDefault="00282F4C" w:rsidP="00282F4C"/>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bookmarkStart w:id="45" w:name="_GoBack"/>
      <w:bookmarkEnd w:id="45"/>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7703E" w:rsidP="00282F4C">
      <w:pPr>
        <w:pStyle w:val="Titolo2"/>
        <w:numPr>
          <w:ilvl w:val="1"/>
          <w:numId w:val="16"/>
        </w:numPr>
      </w:pPr>
      <w:bookmarkStart w:id="46" w:name="_Toc408988075"/>
      <w:r>
        <w:t>Spese previsioni di competenza</w:t>
      </w:r>
      <w:bookmarkEnd w:id="46"/>
      <w:r>
        <w:t xml:space="preserve"> </w:t>
      </w:r>
    </w:p>
    <w:bookmarkStart w:id="47" w:name="_MON_1483877911"/>
    <w:bookmarkEnd w:id="47"/>
    <w:p w:rsidR="00AC22B5" w:rsidRPr="00AC22B5" w:rsidRDefault="007B3C1F" w:rsidP="00AC22B5">
      <w:r>
        <w:object w:dxaOrig="10611" w:dyaOrig="11502">
          <v:shape id="_x0000_i1062" type="#_x0000_t75" style="width:530.5pt;height:575.3pt" o:ole="">
            <v:imagedata r:id="rId96" o:title=""/>
          </v:shape>
          <o:OLEObject Type="Embed" ProgID="Excel.Sheet.8" ShapeID="_x0000_i1062" DrawAspect="Content" ObjectID="_1484374363" r:id="rId97"/>
        </w:object>
      </w:r>
    </w:p>
    <w:p w:rsidR="00282F4C" w:rsidRPr="00282F4C" w:rsidRDefault="00282F4C" w:rsidP="00282F4C"/>
    <w:p w:rsidR="00282F4C" w:rsidRPr="00282F4C" w:rsidRDefault="00282F4C" w:rsidP="00282F4C">
      <w:pPr>
        <w:pStyle w:val="Paragrafoelenco"/>
        <w:ind w:left="1440"/>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57C6B">
      <w:pPr>
        <w:rPr>
          <w:rFonts w:ascii="Arial" w:hAnsi="Arial" w:cs="Arial"/>
          <w:sz w:val="22"/>
          <w:szCs w:val="22"/>
        </w:rPr>
      </w:pPr>
    </w:p>
    <w:p w:rsidR="00457C6B" w:rsidRDefault="0047703E">
      <w:pPr>
        <w:pStyle w:val="Titolo1"/>
        <w:rPr>
          <w:sz w:val="32"/>
          <w:szCs w:val="32"/>
        </w:rPr>
      </w:pPr>
      <w:bookmarkStart w:id="48" w:name="_OSSERVAZIONI_E_SUGGERIMENTI"/>
      <w:bookmarkStart w:id="49" w:name="_Toc408988076"/>
      <w:bookmarkEnd w:id="48"/>
      <w:r>
        <w:rPr>
          <w:sz w:val="32"/>
          <w:szCs w:val="32"/>
        </w:rPr>
        <w:t>OSSERVAZIONI E SUGGERIMENTI</w:t>
      </w:r>
      <w:bookmarkEnd w:id="49"/>
    </w:p>
    <w:p w:rsidR="00457C6B" w:rsidRDefault="0047703E">
      <w:pPr>
        <w:tabs>
          <w:tab w:val="left" w:pos="4820"/>
        </w:tabs>
        <w:rPr>
          <w:rFonts w:ascii="Arial" w:hAnsi="Arial" w:cs="Arial"/>
          <w:sz w:val="22"/>
          <w:szCs w:val="22"/>
        </w:rPr>
      </w:pPr>
      <w:r>
        <w:rPr>
          <w:rFonts w:ascii="Arial" w:hAnsi="Arial" w:cs="Arial"/>
          <w:sz w:val="22"/>
          <w:szCs w:val="22"/>
        </w:rPr>
        <w:br w:type="page"/>
      </w:r>
      <w:r>
        <w:rPr>
          <w:rFonts w:ascii="Arial" w:hAnsi="Arial" w:cs="Arial"/>
          <w:sz w:val="22"/>
          <w:szCs w:val="22"/>
        </w:rPr>
        <w:lastRenderedPageBreak/>
        <w:t>L’organo di revisione a conclusione delle verifiche esposte nei punti precedenti considera:</w:t>
      </w:r>
    </w:p>
    <w:p w:rsidR="00457C6B" w:rsidRDefault="00457C6B">
      <w:pPr>
        <w:tabs>
          <w:tab w:val="left" w:pos="4820"/>
        </w:tabs>
        <w:rPr>
          <w:rFonts w:ascii="Arial" w:hAnsi="Arial" w:cs="Arial"/>
          <w:sz w:val="20"/>
        </w:rPr>
      </w:pPr>
    </w:p>
    <w:p w:rsidR="00457C6B" w:rsidRDefault="0047703E">
      <w:pPr>
        <w:tabs>
          <w:tab w:val="left" w:pos="4820"/>
        </w:tabs>
        <w:rPr>
          <w:rFonts w:ascii="Arial" w:hAnsi="Arial" w:cs="Arial"/>
          <w:b/>
          <w:sz w:val="22"/>
          <w:szCs w:val="22"/>
        </w:rPr>
      </w:pPr>
      <w:r>
        <w:rPr>
          <w:rFonts w:ascii="Arial" w:hAnsi="Arial" w:cs="Arial"/>
          <w:b/>
          <w:sz w:val="22"/>
          <w:szCs w:val="22"/>
        </w:rPr>
        <w:t>a)</w:t>
      </w:r>
      <w:r>
        <w:rPr>
          <w:rFonts w:ascii="Arial" w:hAnsi="Arial" w:cs="Arial"/>
          <w:sz w:val="22"/>
          <w:szCs w:val="22"/>
        </w:rPr>
        <w:t xml:space="preserve"> </w:t>
      </w:r>
      <w:r>
        <w:rPr>
          <w:rFonts w:ascii="Arial" w:hAnsi="Arial" w:cs="Arial"/>
          <w:b/>
          <w:sz w:val="22"/>
          <w:szCs w:val="22"/>
        </w:rPr>
        <w:t>Riguardo alle previsioni parte corrente anno 2015</w:t>
      </w:r>
    </w:p>
    <w:p w:rsidR="00457C6B" w:rsidRDefault="00457C6B">
      <w:pPr>
        <w:tabs>
          <w:tab w:val="left" w:pos="4820"/>
        </w:tabs>
        <w:spacing w:line="80" w:lineRule="exact"/>
        <w:rPr>
          <w:rFonts w:ascii="Arial" w:hAnsi="Arial" w:cs="Arial"/>
          <w:sz w:val="22"/>
          <w:szCs w:val="22"/>
        </w:rPr>
      </w:pPr>
    </w:p>
    <w:p w:rsidR="00457C6B" w:rsidRDefault="0047703E">
      <w:pPr>
        <w:tabs>
          <w:tab w:val="left" w:pos="4820"/>
        </w:tabs>
        <w:jc w:val="both"/>
        <w:rPr>
          <w:rFonts w:ascii="Arial" w:hAnsi="Arial" w:cs="Arial"/>
          <w:sz w:val="22"/>
          <w:szCs w:val="22"/>
        </w:rPr>
      </w:pPr>
      <w:r>
        <w:rPr>
          <w:rFonts w:ascii="Arial" w:hAnsi="Arial" w:cs="Arial"/>
          <w:sz w:val="22"/>
          <w:szCs w:val="22"/>
        </w:rPr>
        <w:t xml:space="preserve">1) Congrue le previsioni di spesa ed attendibili le entrate previste sulla base:                                                             </w:t>
      </w:r>
    </w:p>
    <w:p w:rsidR="00457C6B" w:rsidRDefault="0047703E">
      <w:pPr>
        <w:numPr>
          <w:ilvl w:val="0"/>
          <w:numId w:val="17"/>
        </w:numPr>
        <w:jc w:val="both"/>
        <w:rPr>
          <w:rFonts w:ascii="Arial" w:hAnsi="Arial" w:cs="Arial"/>
          <w:sz w:val="22"/>
          <w:szCs w:val="22"/>
        </w:rPr>
      </w:pPr>
      <w:r>
        <w:rPr>
          <w:rFonts w:ascii="Arial" w:hAnsi="Arial" w:cs="Arial"/>
          <w:sz w:val="22"/>
          <w:szCs w:val="22"/>
        </w:rPr>
        <w:t>delle risultanze del rendiconto 2013 (</w:t>
      </w:r>
      <w:r>
        <w:rPr>
          <w:rFonts w:ascii="Arial" w:hAnsi="Arial" w:cs="Arial"/>
          <w:color w:val="0000FF"/>
          <w:sz w:val="22"/>
          <w:szCs w:val="22"/>
        </w:rPr>
        <w:t>o 2014 se deliberato</w:t>
      </w:r>
      <w:r>
        <w:rPr>
          <w:rFonts w:ascii="Arial" w:hAnsi="Arial" w:cs="Arial"/>
          <w:sz w:val="22"/>
          <w:szCs w:val="22"/>
        </w:rPr>
        <w:t xml:space="preserve">);      </w:t>
      </w:r>
    </w:p>
    <w:p w:rsidR="00457C6B" w:rsidRDefault="0047703E">
      <w:pPr>
        <w:numPr>
          <w:ilvl w:val="0"/>
          <w:numId w:val="17"/>
        </w:numPr>
        <w:jc w:val="both"/>
        <w:rPr>
          <w:rFonts w:ascii="Arial" w:hAnsi="Arial" w:cs="Arial"/>
          <w:sz w:val="22"/>
          <w:szCs w:val="22"/>
        </w:rPr>
      </w:pPr>
      <w:r>
        <w:rPr>
          <w:rFonts w:ascii="Arial" w:hAnsi="Arial" w:cs="Arial"/>
          <w:sz w:val="22"/>
          <w:szCs w:val="22"/>
        </w:rPr>
        <w:t xml:space="preserve">delle previsioni definitive 2014;                     </w:t>
      </w:r>
    </w:p>
    <w:p w:rsidR="00457C6B" w:rsidRDefault="0047703E">
      <w:pPr>
        <w:numPr>
          <w:ilvl w:val="0"/>
          <w:numId w:val="17"/>
        </w:numPr>
        <w:jc w:val="both"/>
        <w:rPr>
          <w:rFonts w:ascii="Arial" w:hAnsi="Arial" w:cs="Arial"/>
          <w:sz w:val="22"/>
          <w:szCs w:val="22"/>
        </w:rPr>
      </w:pPr>
      <w:r>
        <w:rPr>
          <w:rFonts w:ascii="Arial" w:hAnsi="Arial" w:cs="Arial"/>
          <w:sz w:val="22"/>
          <w:szCs w:val="22"/>
        </w:rPr>
        <w:t xml:space="preserve">della ricognizione dello stato di attuazione dei programmi e salvaguardia degli equilibri effettuata ai sensi dell'art. 193 del </w:t>
      </w:r>
      <w:r>
        <w:rPr>
          <w:rFonts w:ascii="Arial" w:hAnsi="Arial" w:cs="Arial"/>
          <w:sz w:val="20"/>
          <w:szCs w:val="20"/>
        </w:rPr>
        <w:t>TUEL</w:t>
      </w:r>
      <w:r>
        <w:rPr>
          <w:rFonts w:ascii="Arial" w:hAnsi="Arial" w:cs="Arial"/>
          <w:sz w:val="22"/>
          <w:szCs w:val="22"/>
        </w:rPr>
        <w:t>;</w:t>
      </w:r>
    </w:p>
    <w:p w:rsidR="00457C6B" w:rsidRDefault="0047703E">
      <w:pPr>
        <w:numPr>
          <w:ilvl w:val="0"/>
          <w:numId w:val="17"/>
        </w:numPr>
        <w:jc w:val="both"/>
        <w:rPr>
          <w:rFonts w:ascii="Arial" w:hAnsi="Arial" w:cs="Arial"/>
          <w:sz w:val="22"/>
          <w:szCs w:val="22"/>
        </w:rPr>
      </w:pPr>
      <w:r>
        <w:rPr>
          <w:rFonts w:ascii="Arial" w:hAnsi="Arial" w:cs="Arial"/>
          <w:sz w:val="22"/>
          <w:szCs w:val="22"/>
        </w:rPr>
        <w:t xml:space="preserve">del bilancio delle aziende speciali, consorzi, istituzioni e società partecipate; </w:t>
      </w:r>
    </w:p>
    <w:p w:rsidR="00457C6B" w:rsidRDefault="0047703E">
      <w:pPr>
        <w:numPr>
          <w:ilvl w:val="0"/>
          <w:numId w:val="17"/>
        </w:numPr>
        <w:jc w:val="both"/>
        <w:rPr>
          <w:rFonts w:ascii="Arial" w:hAnsi="Arial" w:cs="Arial"/>
          <w:sz w:val="22"/>
          <w:szCs w:val="22"/>
        </w:rPr>
      </w:pPr>
      <w:r>
        <w:rPr>
          <w:rFonts w:ascii="Arial" w:hAnsi="Arial" w:cs="Arial"/>
          <w:sz w:val="22"/>
          <w:szCs w:val="22"/>
        </w:rPr>
        <w:t xml:space="preserve">della valutazione del gettito effettivamente accertabile per i diversi cespiti d’entrata; </w:t>
      </w:r>
    </w:p>
    <w:p w:rsidR="00457C6B" w:rsidRDefault="0047703E">
      <w:pPr>
        <w:numPr>
          <w:ilvl w:val="0"/>
          <w:numId w:val="17"/>
        </w:numPr>
        <w:jc w:val="both"/>
        <w:rPr>
          <w:rFonts w:ascii="Arial" w:hAnsi="Arial" w:cs="Arial"/>
          <w:sz w:val="22"/>
          <w:szCs w:val="22"/>
        </w:rPr>
      </w:pPr>
      <w:r>
        <w:rPr>
          <w:rFonts w:ascii="Arial" w:hAnsi="Arial" w:cs="Arial"/>
          <w:sz w:val="22"/>
          <w:szCs w:val="22"/>
        </w:rPr>
        <w:t>degli effetti derivanti da spese disposte da leggi, contratti ed atti che obbligano giuridicamente l’ente;</w:t>
      </w:r>
    </w:p>
    <w:p w:rsidR="00457C6B" w:rsidRDefault="0047703E">
      <w:pPr>
        <w:numPr>
          <w:ilvl w:val="0"/>
          <w:numId w:val="17"/>
        </w:numPr>
        <w:jc w:val="both"/>
        <w:rPr>
          <w:rFonts w:ascii="Arial" w:hAnsi="Arial" w:cs="Arial"/>
          <w:sz w:val="22"/>
          <w:szCs w:val="22"/>
        </w:rPr>
      </w:pPr>
      <w:r>
        <w:rPr>
          <w:rFonts w:ascii="Arial" w:hAnsi="Arial" w:cs="Arial"/>
          <w:sz w:val="22"/>
          <w:szCs w:val="22"/>
        </w:rPr>
        <w:t>degli effetti derivanti dalla manovra finanziaria che l’ente ha attuato sulle entrate e sulle spese;</w:t>
      </w:r>
    </w:p>
    <w:p w:rsidR="00457C6B" w:rsidRDefault="0047703E">
      <w:pPr>
        <w:numPr>
          <w:ilvl w:val="0"/>
          <w:numId w:val="17"/>
        </w:numPr>
        <w:jc w:val="both"/>
        <w:rPr>
          <w:rFonts w:ascii="Arial" w:hAnsi="Arial" w:cs="Arial"/>
          <w:sz w:val="22"/>
          <w:szCs w:val="22"/>
        </w:rPr>
      </w:pPr>
      <w:r>
        <w:rPr>
          <w:rFonts w:ascii="Arial" w:hAnsi="Arial" w:cs="Arial"/>
          <w:sz w:val="22"/>
          <w:szCs w:val="22"/>
        </w:rPr>
        <w:t>dei vincoli sulle spese e riduzioni dei trasferimenti erariali;</w:t>
      </w:r>
    </w:p>
    <w:p w:rsidR="00457C6B" w:rsidRDefault="0047703E">
      <w:pPr>
        <w:numPr>
          <w:ilvl w:val="0"/>
          <w:numId w:val="17"/>
        </w:numPr>
        <w:jc w:val="both"/>
        <w:rPr>
          <w:rFonts w:ascii="Arial" w:hAnsi="Arial" w:cs="Arial"/>
          <w:sz w:val="22"/>
          <w:szCs w:val="22"/>
        </w:rPr>
      </w:pPr>
      <w:r>
        <w:rPr>
          <w:rFonts w:ascii="Arial" w:hAnsi="Arial" w:cs="Arial"/>
          <w:sz w:val="22"/>
          <w:szCs w:val="22"/>
        </w:rPr>
        <w:t>dei vincoli disposti per il rispetto del patto di stabilità interno e delle norme relative al concorso degli enti locali alla realizzazione degli obiettivi di finanza pubblica;</w:t>
      </w:r>
    </w:p>
    <w:p w:rsidR="00457C6B" w:rsidRDefault="0047703E">
      <w:pPr>
        <w:numPr>
          <w:ilvl w:val="0"/>
          <w:numId w:val="17"/>
        </w:numPr>
        <w:jc w:val="both"/>
        <w:rPr>
          <w:rFonts w:ascii="Arial" w:hAnsi="Arial" w:cs="Arial"/>
          <w:color w:val="0000FF"/>
          <w:sz w:val="20"/>
          <w:szCs w:val="20"/>
        </w:rPr>
      </w:pPr>
      <w:r>
        <w:rPr>
          <w:rFonts w:ascii="Arial" w:hAnsi="Arial" w:cs="Arial"/>
          <w:sz w:val="22"/>
          <w:szCs w:val="22"/>
        </w:rPr>
        <w:t>dei seguenti elementi</w:t>
      </w:r>
      <w:r>
        <w:rPr>
          <w:rFonts w:ascii="Arial" w:hAnsi="Arial" w:cs="Arial"/>
          <w:sz w:val="20"/>
        </w:rPr>
        <w:t xml:space="preserve"> </w:t>
      </w:r>
      <w:r>
        <w:rPr>
          <w:rFonts w:ascii="Arial" w:hAnsi="Arial" w:cs="Arial"/>
          <w:color w:val="0000FF"/>
          <w:sz w:val="20"/>
          <w:szCs w:val="20"/>
        </w:rPr>
        <w:t>(forniti dall'amministrazione o rilevati dall’organo di revisione nel suo operato):</w:t>
      </w:r>
    </w:p>
    <w:p w:rsidR="00457C6B" w:rsidRDefault="0047703E">
      <w:pPr>
        <w:jc w:val="both"/>
        <w:rPr>
          <w:rFonts w:ascii="Arial" w:hAnsi="Arial" w:cs="Arial"/>
          <w:color w:val="0000FF"/>
          <w:sz w:val="20"/>
        </w:rPr>
      </w:pPr>
      <w:r>
        <w:rPr>
          <w:rFonts w:ascii="Arial" w:hAnsi="Arial" w:cs="Arial"/>
          <w:color w:val="0000FF"/>
          <w:sz w:val="20"/>
        </w:rPr>
        <w:t xml:space="preserve">             </w:t>
      </w:r>
    </w:p>
    <w:p w:rsidR="00457C6B" w:rsidRDefault="00457C6B">
      <w:pPr>
        <w:tabs>
          <w:tab w:val="left" w:pos="4820"/>
        </w:tabs>
        <w:spacing w:line="80" w:lineRule="exact"/>
        <w:rPr>
          <w:rFonts w:ascii="Arial" w:hAnsi="Arial" w:cs="Arial"/>
          <w:sz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0"/>
          <w:szCs w:val="18"/>
        </w:rPr>
      </w:pPr>
      <w:r>
        <w:rPr>
          <w:rFonts w:ascii="Arial" w:hAnsi="Arial" w:cs="Arial"/>
          <w:b/>
          <w:i/>
          <w:color w:val="0000FF"/>
          <w:sz w:val="20"/>
          <w:szCs w:val="18"/>
        </w:rPr>
        <w:t>(oppure)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color w:val="0000FF"/>
          <w:sz w:val="20"/>
          <w:szCs w:val="18"/>
        </w:rPr>
        <w:t>1.bis)</w:t>
      </w:r>
      <w:r>
        <w:rPr>
          <w:rFonts w:ascii="Arial" w:hAnsi="Arial" w:cs="Arial"/>
          <w:sz w:val="20"/>
          <w:szCs w:val="18"/>
        </w:rPr>
        <w:t xml:space="preserve"> 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rsidR="00457C6B" w:rsidRDefault="00457C6B">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0"/>
          <w:szCs w:val="18"/>
        </w:rPr>
      </w:pP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entrate </w:t>
      </w:r>
      <w:r>
        <w:rPr>
          <w:rFonts w:ascii="Arial" w:hAnsi="Arial" w:cs="Arial"/>
          <w:sz w:val="20"/>
          <w:szCs w:val="18"/>
        </w:rPr>
        <w:tab/>
      </w:r>
      <w:r>
        <w:rPr>
          <w:rFonts w:ascii="Arial" w:hAnsi="Arial" w:cs="Arial"/>
          <w:sz w:val="20"/>
          <w:szCs w:val="18"/>
        </w:rPr>
        <w:tab/>
        <w:t xml:space="preserve">             spese </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w:t>
      </w:r>
      <w:r>
        <w:rPr>
          <w:rFonts w:ascii="Arial" w:hAnsi="Arial" w:cs="Arial"/>
          <w:sz w:val="20"/>
          <w:szCs w:val="18"/>
        </w:rPr>
        <w:tab/>
      </w:r>
      <w:r>
        <w:rPr>
          <w:rFonts w:ascii="Arial" w:hAnsi="Arial" w:cs="Arial"/>
          <w:sz w:val="20"/>
          <w:szCs w:val="18"/>
        </w:rPr>
        <w:tab/>
        <w:t>.................</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programmi </w:t>
      </w:r>
      <w:proofErr w:type="spellStart"/>
      <w:r>
        <w:rPr>
          <w:rFonts w:ascii="Arial" w:hAnsi="Arial" w:cs="Arial"/>
          <w:sz w:val="20"/>
          <w:szCs w:val="18"/>
        </w:rPr>
        <w:t>………</w:t>
      </w:r>
      <w:proofErr w:type="spellEnd"/>
      <w:r>
        <w:rPr>
          <w:rFonts w:ascii="Arial" w:hAnsi="Arial" w:cs="Arial"/>
          <w:sz w:val="20"/>
          <w:szCs w:val="18"/>
        </w:rPr>
        <w:t xml:space="preserve">. </w:t>
      </w:r>
      <w:r>
        <w:rPr>
          <w:rFonts w:ascii="Arial" w:hAnsi="Arial" w:cs="Arial"/>
          <w:sz w:val="20"/>
          <w:szCs w:val="18"/>
        </w:rPr>
        <w:tab/>
        <w:t xml:space="preserve"> progetti ..............</w:t>
      </w:r>
    </w:p>
    <w:p w:rsidR="00457C6B" w:rsidRDefault="00457C6B">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18"/>
          <w:szCs w:val="18"/>
        </w:rPr>
      </w:pPr>
    </w:p>
    <w:p w:rsidR="00457C6B" w:rsidRDefault="00457C6B">
      <w:pPr>
        <w:tabs>
          <w:tab w:val="left" w:pos="4820"/>
        </w:tabs>
        <w:jc w:val="both"/>
        <w:rPr>
          <w:rFonts w:ascii="Arial" w:hAnsi="Arial" w:cs="Arial"/>
          <w:i/>
          <w:sz w:val="16"/>
        </w:rPr>
      </w:pPr>
    </w:p>
    <w:p w:rsidR="00457C6B" w:rsidRDefault="0047703E">
      <w:pPr>
        <w:tabs>
          <w:tab w:val="left" w:pos="4820"/>
        </w:tabs>
        <w:jc w:val="both"/>
        <w:rPr>
          <w:rFonts w:ascii="Arial" w:hAnsi="Arial" w:cs="Arial"/>
          <w:color w:val="0000FF"/>
        </w:rPr>
      </w:pPr>
      <w:r>
        <w:rPr>
          <w:rFonts w:ascii="Arial" w:hAnsi="Arial" w:cs="Arial"/>
          <w:color w:val="0070C0"/>
          <w:sz w:val="20"/>
        </w:rPr>
        <w:t>(</w:t>
      </w:r>
      <w:r>
        <w:rPr>
          <w:rFonts w:ascii="Arial" w:hAnsi="Arial" w:cs="Arial"/>
          <w:color w:val="0000FF"/>
          <w:sz w:val="20"/>
        </w:rPr>
        <w:t xml:space="preserve">N.B. Proporre il termine del 30/6/2015, per la verifica delle entrate eventuali e indicare quali spese sono autorizzate a condizione. Esempi di entrate eventuali potrebbero essere: gettito arretrato di tributi aboliti, entrate per recupero evasione tributaria, </w:t>
      </w:r>
      <w:proofErr w:type="spellStart"/>
      <w:r>
        <w:rPr>
          <w:rFonts w:ascii="Arial" w:hAnsi="Arial" w:cs="Arial"/>
          <w:color w:val="0000FF"/>
          <w:sz w:val="20"/>
        </w:rPr>
        <w:t>Imu</w:t>
      </w:r>
      <w:proofErr w:type="spellEnd"/>
      <w:r>
        <w:rPr>
          <w:rFonts w:ascii="Arial" w:hAnsi="Arial" w:cs="Arial"/>
          <w:color w:val="0000FF"/>
          <w:sz w:val="20"/>
        </w:rPr>
        <w:t xml:space="preserve">, </w:t>
      </w:r>
      <w:proofErr w:type="spellStart"/>
      <w:r>
        <w:rPr>
          <w:rFonts w:ascii="Arial" w:hAnsi="Arial" w:cs="Arial"/>
          <w:color w:val="0000FF"/>
          <w:sz w:val="20"/>
        </w:rPr>
        <w:t>tasi</w:t>
      </w:r>
      <w:proofErr w:type="spellEnd"/>
      <w:r>
        <w:rPr>
          <w:rFonts w:ascii="Arial" w:hAnsi="Arial" w:cs="Arial"/>
          <w:color w:val="0000FF"/>
          <w:sz w:val="20"/>
        </w:rPr>
        <w:t xml:space="preserve"> e Tari, fondo di solidarietà,trasferimenti di enti o privati, contributo per rilascio permesso di costruire, sanzioni per contravvenzione al codice della strada, dividendi da società partecipate</w:t>
      </w:r>
      <w:r>
        <w:rPr>
          <w:rFonts w:ascii="Arial" w:hAnsi="Arial" w:cs="Arial"/>
          <w:color w:val="0000FF"/>
          <w:sz w:val="20"/>
          <w:u w:val="single"/>
        </w:rPr>
        <w:t>. E’ necessario assegnare un termine per la verifica delle previsioni nel caso in cui alla data di presentazione dello schema di bilancio non sia ancora definita la normativa (ad esempio regole patto di stabilità) per la previsione e gestione finanziaria degli enti locali.)</w:t>
      </w:r>
    </w:p>
    <w:p w:rsidR="00457C6B" w:rsidRDefault="00457C6B">
      <w:pPr>
        <w:tabs>
          <w:tab w:val="left" w:pos="4820"/>
        </w:tabs>
        <w:spacing w:line="80" w:lineRule="exact"/>
        <w:rPr>
          <w:rFonts w:ascii="Arial" w:hAnsi="Arial" w:cs="Arial"/>
          <w:color w:val="0000FF"/>
          <w:sz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0"/>
          <w:szCs w:val="18"/>
        </w:rPr>
      </w:pPr>
      <w:r>
        <w:rPr>
          <w:rFonts w:ascii="Arial" w:hAnsi="Arial" w:cs="Arial"/>
          <w:color w:val="0000FF"/>
          <w:sz w:val="20"/>
          <w:szCs w:val="18"/>
        </w:rPr>
        <w:t>(oppure):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1.ter) Che la congruità e l'attendibilità delle  seguenti previsioni non è fondata su provvedimenti che consentono di ritenere attendibile l’entrata, mentre la spesa prevista non appare congrua tenendo conto:</w:t>
      </w:r>
    </w:p>
    <w:p w:rsidR="00457C6B" w:rsidRDefault="0047703E">
      <w:pPr>
        <w:numPr>
          <w:ilvl w:val="0"/>
          <w:numId w:val="17"/>
        </w:num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delle obbligazioni assunte e da assumere in relazione agli obiettivi stabiliti negli atti di programmazione dell’ente;</w:t>
      </w:r>
    </w:p>
    <w:p w:rsidR="00457C6B" w:rsidRDefault="0047703E">
      <w:pPr>
        <w:numPr>
          <w:ilvl w:val="0"/>
          <w:numId w:val="17"/>
        </w:num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ai vincoli di finanza pubblica;</w:t>
      </w:r>
    </w:p>
    <w:p w:rsidR="00457C6B" w:rsidRDefault="0047703E">
      <w:pPr>
        <w:numPr>
          <w:ilvl w:val="0"/>
          <w:numId w:val="17"/>
        </w:num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 xml:space="preserve">alla necessità di finanziare o ricapitalizzare i seguenti organismi partecipati </w:t>
      </w:r>
      <w:proofErr w:type="spellStart"/>
      <w:r>
        <w:rPr>
          <w:rFonts w:ascii="Arial" w:hAnsi="Arial" w:cs="Arial"/>
          <w:sz w:val="20"/>
          <w:szCs w:val="18"/>
        </w:rPr>
        <w:t>……</w:t>
      </w:r>
      <w:proofErr w:type="spellEnd"/>
      <w:r>
        <w:rPr>
          <w:rFonts w:ascii="Arial" w:hAnsi="Arial" w:cs="Arial"/>
          <w:sz w:val="20"/>
          <w:szCs w:val="18"/>
        </w:rPr>
        <w:t>.;</w:t>
      </w:r>
    </w:p>
    <w:p w:rsidR="00457C6B" w:rsidRDefault="0047703E">
      <w:pPr>
        <w:numPr>
          <w:ilvl w:val="0"/>
          <w:numId w:val="17"/>
        </w:num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alla necessità di costituire un fondo svalutazione crediti congruo con l’andamento storico degli accertamenti inesigibili;</w:t>
      </w:r>
    </w:p>
    <w:p w:rsidR="00457C6B" w:rsidRDefault="0047703E">
      <w:pPr>
        <w:numPr>
          <w:ilvl w:val="0"/>
          <w:numId w:val="17"/>
        </w:numPr>
        <w:pBdr>
          <w:top w:val="outset" w:sz="6" w:space="1" w:color="auto"/>
          <w:left w:val="outset" w:sz="6" w:space="4" w:color="auto"/>
          <w:bottom w:val="inset" w:sz="6" w:space="1" w:color="auto"/>
          <w:right w:val="inset" w:sz="6" w:space="4" w:color="auto"/>
        </w:pBdr>
        <w:jc w:val="both"/>
        <w:rPr>
          <w:rFonts w:ascii="Arial" w:hAnsi="Arial" w:cs="Arial"/>
          <w:sz w:val="20"/>
          <w:szCs w:val="18"/>
        </w:rPr>
      </w:pPr>
      <w:r>
        <w:rPr>
          <w:rFonts w:ascii="Arial" w:hAnsi="Arial" w:cs="Arial"/>
          <w:sz w:val="20"/>
          <w:szCs w:val="18"/>
        </w:rPr>
        <w:t>alla necessità di finanziare debiti fuori bilancio o passività potenziali probabili.</w:t>
      </w:r>
    </w:p>
    <w:p w:rsidR="00457C6B" w:rsidRDefault="0047703E">
      <w:pPr>
        <w:pBdr>
          <w:top w:val="outset" w:sz="6" w:space="1" w:color="auto"/>
          <w:left w:val="outset" w:sz="6" w:space="4" w:color="auto"/>
          <w:bottom w:val="inset" w:sz="6" w:space="1" w:color="auto"/>
          <w:right w:val="inset" w:sz="6" w:space="4" w:color="auto"/>
        </w:pBdr>
        <w:spacing w:before="120"/>
        <w:jc w:val="both"/>
        <w:rPr>
          <w:rFonts w:ascii="Arial" w:hAnsi="Arial" w:cs="Arial"/>
          <w:sz w:val="20"/>
          <w:szCs w:val="18"/>
        </w:rPr>
      </w:pPr>
      <w:r>
        <w:rPr>
          <w:rFonts w:ascii="Arial" w:hAnsi="Arial" w:cs="Arial"/>
          <w:sz w:val="20"/>
          <w:szCs w:val="18"/>
        </w:rPr>
        <w:t xml:space="preserve">per cui si invita il Consiglio a adottare le misure correttive o i provvedimenti di seguito indicati:                                                      </w:t>
      </w:r>
    </w:p>
    <w:p w:rsidR="00457C6B" w:rsidRDefault="00457C6B">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0"/>
          <w:szCs w:val="18"/>
        </w:rPr>
      </w:pP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entrate inattendibili</w:t>
      </w:r>
      <w:r>
        <w:rPr>
          <w:rFonts w:ascii="Arial" w:hAnsi="Arial" w:cs="Arial"/>
          <w:sz w:val="20"/>
          <w:szCs w:val="18"/>
        </w:rPr>
        <w:tab/>
      </w:r>
      <w:r>
        <w:rPr>
          <w:rFonts w:ascii="Arial" w:hAnsi="Arial" w:cs="Arial"/>
          <w:sz w:val="20"/>
          <w:szCs w:val="18"/>
        </w:rPr>
        <w:tab/>
        <w:t>spese non congrue</w:t>
      </w: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w:t>
      </w:r>
      <w:r>
        <w:rPr>
          <w:rFonts w:ascii="Arial" w:hAnsi="Arial" w:cs="Arial"/>
          <w:sz w:val="20"/>
          <w:szCs w:val="18"/>
        </w:rPr>
        <w:tab/>
      </w:r>
      <w:r>
        <w:rPr>
          <w:rFonts w:ascii="Arial" w:hAnsi="Arial" w:cs="Arial"/>
          <w:sz w:val="20"/>
          <w:szCs w:val="18"/>
        </w:rPr>
        <w:tab/>
        <w:t>..........................</w:t>
      </w:r>
    </w:p>
    <w:p w:rsidR="00457C6B" w:rsidRDefault="00457C6B">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0"/>
          <w:szCs w:val="18"/>
        </w:rPr>
      </w:pPr>
    </w:p>
    <w:p w:rsidR="00457C6B" w:rsidRDefault="0047703E">
      <w:pPr>
        <w:pBdr>
          <w:top w:val="outset" w:sz="6" w:space="1" w:color="auto"/>
          <w:left w:val="outset" w:sz="6" w:space="4" w:color="auto"/>
          <w:bottom w:val="inset" w:sz="6" w:space="1" w:color="auto"/>
          <w:right w:val="inset" w:sz="6" w:space="4" w:color="auto"/>
        </w:pBdr>
        <w:rPr>
          <w:rFonts w:ascii="Arial" w:hAnsi="Arial" w:cs="Arial"/>
          <w:sz w:val="20"/>
          <w:szCs w:val="18"/>
        </w:rPr>
      </w:pPr>
      <w:r>
        <w:rPr>
          <w:rFonts w:ascii="Arial" w:hAnsi="Arial" w:cs="Arial"/>
          <w:sz w:val="20"/>
          <w:szCs w:val="18"/>
        </w:rPr>
        <w:t>programmi </w:t>
      </w:r>
      <w:r>
        <w:rPr>
          <w:rFonts w:ascii="Arial" w:hAnsi="Arial" w:cs="Arial"/>
          <w:sz w:val="20"/>
          <w:szCs w:val="18"/>
        </w:rPr>
        <w:tab/>
      </w:r>
      <w:r>
        <w:rPr>
          <w:rFonts w:ascii="Arial" w:hAnsi="Arial" w:cs="Arial"/>
          <w:sz w:val="20"/>
          <w:szCs w:val="18"/>
        </w:rPr>
        <w:tab/>
      </w:r>
      <w:r>
        <w:rPr>
          <w:rFonts w:ascii="Arial" w:hAnsi="Arial" w:cs="Arial"/>
          <w:sz w:val="20"/>
          <w:szCs w:val="18"/>
        </w:rPr>
        <w:tab/>
        <w:t xml:space="preserve">progetti                                                                        </w:t>
      </w:r>
    </w:p>
    <w:p w:rsidR="00457C6B" w:rsidRDefault="0047703E">
      <w:pPr>
        <w:pStyle w:val="Rientrocorpodeltesto"/>
        <w:pBdr>
          <w:top w:val="outset" w:sz="6" w:space="1" w:color="auto"/>
          <w:left w:val="outset" w:sz="6" w:space="4" w:color="auto"/>
          <w:bottom w:val="inset" w:sz="6" w:space="1" w:color="auto"/>
          <w:right w:val="inset" w:sz="6" w:space="4" w:color="auto"/>
        </w:pBdr>
        <w:ind w:firstLine="0"/>
        <w:rPr>
          <w:rFonts w:ascii="Arial" w:hAnsi="Arial" w:cs="Arial"/>
          <w:i/>
          <w:sz w:val="20"/>
          <w:szCs w:val="18"/>
        </w:rPr>
      </w:pPr>
      <w:r>
        <w:rPr>
          <w:rFonts w:ascii="Arial" w:hAnsi="Arial" w:cs="Arial"/>
          <w:i/>
          <w:sz w:val="20"/>
          <w:szCs w:val="18"/>
        </w:rPr>
        <w:t>........................</w:t>
      </w:r>
      <w:r>
        <w:rPr>
          <w:rFonts w:ascii="Arial" w:hAnsi="Arial" w:cs="Arial"/>
          <w:i/>
          <w:sz w:val="20"/>
          <w:szCs w:val="18"/>
        </w:rPr>
        <w:tab/>
      </w:r>
      <w:r>
        <w:rPr>
          <w:rFonts w:ascii="Arial" w:hAnsi="Arial" w:cs="Arial"/>
          <w:i/>
          <w:sz w:val="20"/>
          <w:szCs w:val="18"/>
        </w:rPr>
        <w:tab/>
      </w:r>
      <w:r>
        <w:rPr>
          <w:rFonts w:ascii="Arial" w:hAnsi="Arial" w:cs="Arial"/>
          <w:i/>
          <w:sz w:val="20"/>
          <w:szCs w:val="18"/>
        </w:rPr>
        <w:tab/>
        <w:t>.........................</w:t>
      </w:r>
    </w:p>
    <w:p w:rsidR="00457C6B" w:rsidRDefault="00457C6B">
      <w:pPr>
        <w:tabs>
          <w:tab w:val="left" w:pos="4820"/>
        </w:tabs>
        <w:spacing w:line="80" w:lineRule="exact"/>
        <w:rPr>
          <w:rFonts w:ascii="Arial" w:hAnsi="Arial" w:cs="Arial"/>
          <w:sz w:val="20"/>
        </w:rPr>
      </w:pPr>
    </w:p>
    <w:p w:rsidR="00457C6B" w:rsidRDefault="0047703E">
      <w:pPr>
        <w:tabs>
          <w:tab w:val="left" w:pos="4820"/>
        </w:tabs>
        <w:jc w:val="both"/>
        <w:rPr>
          <w:rFonts w:ascii="Arial" w:hAnsi="Arial" w:cs="Arial"/>
          <w:color w:val="0000FF"/>
          <w:sz w:val="20"/>
        </w:rPr>
      </w:pPr>
      <w:r>
        <w:rPr>
          <w:rFonts w:ascii="Arial" w:hAnsi="Arial" w:cs="Arial"/>
          <w:color w:val="0000FF"/>
          <w:sz w:val="20"/>
        </w:rPr>
        <w:t>(N.B. Suggerire le modalità tecniche e le misure da adottarsi con urgenza, per assicurare gli equilibri previsioni o gestionali, quali ad esempio :</w:t>
      </w:r>
    </w:p>
    <w:p w:rsidR="00457C6B" w:rsidRDefault="0047703E">
      <w:pPr>
        <w:numPr>
          <w:ilvl w:val="0"/>
          <w:numId w:val="17"/>
        </w:numPr>
        <w:tabs>
          <w:tab w:val="left" w:pos="4820"/>
        </w:tabs>
        <w:spacing w:before="120"/>
        <w:ind w:left="357" w:hanging="357"/>
        <w:jc w:val="both"/>
        <w:rPr>
          <w:rFonts w:ascii="Arial" w:hAnsi="Arial" w:cs="Arial"/>
          <w:color w:val="0000FF"/>
          <w:sz w:val="20"/>
        </w:rPr>
      </w:pPr>
      <w:r>
        <w:rPr>
          <w:rFonts w:ascii="Arial" w:hAnsi="Arial" w:cs="Arial"/>
          <w:color w:val="0000FF"/>
          <w:sz w:val="20"/>
        </w:rPr>
        <w:t>per le entrate, atti deliberativi di determinazione aliquote, tariffe, canoni ecc., atti d’indirizzo per azioni di recupero di gettito e comunque da riportare a ragionevole certezza la previsione;</w:t>
      </w:r>
    </w:p>
    <w:p w:rsidR="00457C6B" w:rsidRDefault="0047703E">
      <w:pPr>
        <w:numPr>
          <w:ilvl w:val="0"/>
          <w:numId w:val="21"/>
        </w:numPr>
        <w:tabs>
          <w:tab w:val="left" w:pos="4820"/>
        </w:tabs>
        <w:spacing w:before="120"/>
        <w:ind w:left="357" w:hanging="357"/>
        <w:jc w:val="both"/>
        <w:rPr>
          <w:rFonts w:ascii="Arial" w:hAnsi="Arial" w:cs="Arial"/>
          <w:color w:val="0000FF"/>
          <w:sz w:val="20"/>
        </w:rPr>
      </w:pPr>
      <w:r>
        <w:rPr>
          <w:rFonts w:ascii="Arial" w:hAnsi="Arial" w:cs="Arial"/>
          <w:color w:val="0000FF"/>
          <w:sz w:val="20"/>
        </w:rPr>
        <w:lastRenderedPageBreak/>
        <w:t xml:space="preserve">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svalutazione crediti,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rsidR="00457C6B" w:rsidRDefault="00457C6B">
      <w:pPr>
        <w:tabs>
          <w:tab w:val="left" w:pos="4820"/>
        </w:tabs>
        <w:rPr>
          <w:rFonts w:ascii="Arial" w:hAnsi="Arial" w:cs="Arial"/>
          <w:color w:val="0000FF"/>
          <w:sz w:val="20"/>
        </w:rPr>
      </w:pPr>
    </w:p>
    <w:p w:rsidR="00457C6B" w:rsidRDefault="0047703E">
      <w:pPr>
        <w:rPr>
          <w:rFonts w:ascii="Arial" w:hAnsi="Arial" w:cs="Arial"/>
          <w:sz w:val="22"/>
          <w:szCs w:val="22"/>
        </w:rPr>
      </w:pPr>
      <w:r>
        <w:rPr>
          <w:rFonts w:ascii="Arial" w:hAnsi="Arial" w:cs="Arial"/>
          <w:b/>
          <w:sz w:val="22"/>
          <w:szCs w:val="22"/>
        </w:rPr>
        <w:t>b)</w:t>
      </w:r>
      <w:r>
        <w:rPr>
          <w:rFonts w:ascii="Arial" w:hAnsi="Arial" w:cs="Arial"/>
          <w:sz w:val="22"/>
          <w:szCs w:val="22"/>
        </w:rPr>
        <w:t xml:space="preserve"> </w:t>
      </w:r>
      <w:r>
        <w:rPr>
          <w:rFonts w:ascii="Arial" w:hAnsi="Arial" w:cs="Arial"/>
          <w:b/>
          <w:sz w:val="22"/>
          <w:szCs w:val="22"/>
        </w:rPr>
        <w:t>Riguardo alle previsioni parte corrente pluriennali</w:t>
      </w:r>
    </w:p>
    <w:p w:rsidR="00457C6B" w:rsidRDefault="00457C6B">
      <w:pPr>
        <w:tabs>
          <w:tab w:val="left" w:pos="4820"/>
        </w:tabs>
        <w:spacing w:line="80" w:lineRule="exact"/>
        <w:rPr>
          <w:rFonts w:ascii="Arial" w:hAnsi="Arial" w:cs="Arial"/>
          <w:sz w:val="22"/>
          <w:szCs w:val="22"/>
        </w:rPr>
      </w:pPr>
    </w:p>
    <w:p w:rsidR="00457C6B" w:rsidRDefault="0047703E">
      <w:pPr>
        <w:spacing w:after="120"/>
        <w:jc w:val="both"/>
        <w:rPr>
          <w:rFonts w:ascii="Arial" w:hAnsi="Arial" w:cs="Arial"/>
          <w:sz w:val="22"/>
          <w:szCs w:val="22"/>
        </w:rPr>
      </w:pPr>
      <w:r>
        <w:rPr>
          <w:rFonts w:ascii="Arial" w:hAnsi="Arial" w:cs="Arial"/>
          <w:sz w:val="22"/>
          <w:szCs w:val="22"/>
        </w:rPr>
        <w:t>Attendibili e congrue le previsioni contenute nel bilancio pluriennale in quanto rilevano:</w:t>
      </w:r>
    </w:p>
    <w:p w:rsidR="00457C6B" w:rsidRDefault="0047703E">
      <w:pPr>
        <w:numPr>
          <w:ilvl w:val="0"/>
          <w:numId w:val="18"/>
        </w:numPr>
        <w:spacing w:after="120"/>
        <w:ind w:left="357" w:hanging="357"/>
        <w:jc w:val="both"/>
        <w:rPr>
          <w:rFonts w:ascii="Arial" w:hAnsi="Arial" w:cs="Arial"/>
          <w:sz w:val="22"/>
          <w:szCs w:val="22"/>
        </w:rPr>
      </w:pPr>
      <w:r>
        <w:rPr>
          <w:rFonts w:ascii="Arial" w:hAnsi="Arial" w:cs="Arial"/>
          <w:sz w:val="22"/>
          <w:szCs w:val="22"/>
        </w:rPr>
        <w:t>i riflessi delle decisioni già prese e di quelle da effettuare descritte nella relazione previsionale e programmatica e nel programma triennale del fabbisogno di personale;</w:t>
      </w:r>
    </w:p>
    <w:p w:rsidR="00457C6B" w:rsidRDefault="0047703E">
      <w:pPr>
        <w:numPr>
          <w:ilvl w:val="0"/>
          <w:numId w:val="18"/>
        </w:numPr>
        <w:spacing w:after="120"/>
        <w:ind w:left="357" w:hanging="357"/>
        <w:jc w:val="both"/>
        <w:rPr>
          <w:rFonts w:ascii="Arial" w:hAnsi="Arial" w:cs="Arial"/>
          <w:sz w:val="22"/>
          <w:szCs w:val="22"/>
        </w:rPr>
      </w:pPr>
      <w:r>
        <w:rPr>
          <w:rFonts w:ascii="Arial" w:hAnsi="Arial" w:cs="Arial"/>
          <w:sz w:val="22"/>
          <w:szCs w:val="22"/>
        </w:rPr>
        <w:t>gli oneri indotti delle spese in conto capitale;</w:t>
      </w:r>
    </w:p>
    <w:p w:rsidR="00457C6B" w:rsidRDefault="0047703E">
      <w:pPr>
        <w:numPr>
          <w:ilvl w:val="0"/>
          <w:numId w:val="18"/>
        </w:numPr>
        <w:spacing w:after="120"/>
        <w:ind w:left="357" w:hanging="357"/>
        <w:jc w:val="both"/>
        <w:rPr>
          <w:rFonts w:ascii="Arial" w:hAnsi="Arial" w:cs="Arial"/>
          <w:sz w:val="22"/>
          <w:szCs w:val="22"/>
        </w:rPr>
      </w:pPr>
      <w:r>
        <w:rPr>
          <w:rFonts w:ascii="Arial" w:hAnsi="Arial" w:cs="Arial"/>
          <w:sz w:val="22"/>
          <w:szCs w:val="22"/>
        </w:rPr>
        <w:t>gli oneri derivanti dalle assunzioni di prestiti.</w:t>
      </w:r>
    </w:p>
    <w:p w:rsidR="00457C6B" w:rsidRDefault="0047703E">
      <w:pPr>
        <w:pStyle w:val="Rientrocorpodeltesto"/>
        <w:rPr>
          <w:rFonts w:ascii="Arial" w:hAnsi="Arial" w:cs="Arial"/>
          <w:color w:val="0000FF"/>
          <w:sz w:val="20"/>
        </w:rPr>
      </w:pPr>
      <w:r>
        <w:rPr>
          <w:rFonts w:ascii="Arial" w:hAnsi="Arial" w:cs="Arial"/>
          <w:color w:val="0000FF"/>
          <w:sz w:val="20"/>
        </w:rPr>
        <w:t>(Oppure: vedi precedenti punti 1bis e 1ter).</w:t>
      </w:r>
    </w:p>
    <w:p w:rsidR="00457C6B" w:rsidRDefault="0047703E">
      <w:pPr>
        <w:rPr>
          <w:rFonts w:ascii="Arial" w:hAnsi="Arial" w:cs="Arial"/>
          <w:b/>
          <w:sz w:val="22"/>
          <w:szCs w:val="22"/>
        </w:rPr>
      </w:pPr>
      <w:r>
        <w:rPr>
          <w:rFonts w:ascii="Arial" w:hAnsi="Arial" w:cs="Arial"/>
          <w:b/>
          <w:sz w:val="22"/>
          <w:szCs w:val="22"/>
        </w:rPr>
        <w:t>c) Riguardo alle previsioni per investimenti</w:t>
      </w:r>
    </w:p>
    <w:p w:rsidR="00457C6B" w:rsidRDefault="00457C6B">
      <w:pPr>
        <w:tabs>
          <w:tab w:val="left" w:pos="4820"/>
        </w:tabs>
        <w:spacing w:line="80" w:lineRule="exact"/>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Conforme la previsione dei mezzi di copertura finanziaria e delle spese per investimenti, all’elenco annuale degli interventi ed al programma triennale dei lavori pubblici, allegati al bilancio.</w:t>
      </w:r>
    </w:p>
    <w:p w:rsidR="00457C6B" w:rsidRDefault="0047703E">
      <w:pPr>
        <w:jc w:val="both"/>
        <w:rPr>
          <w:rFonts w:ascii="Arial" w:hAnsi="Arial" w:cs="Arial"/>
          <w:sz w:val="22"/>
          <w:szCs w:val="22"/>
        </w:rPr>
      </w:pPr>
      <w:r>
        <w:rPr>
          <w:rFonts w:ascii="Arial" w:hAnsi="Arial" w:cs="Arial"/>
          <w:sz w:val="22"/>
          <w:szCs w:val="22"/>
        </w:rPr>
        <w:t>Coerente la previsione di spesa per investimenti con il programma amministrativo, il piano generale di sviluppo dell’ente, il piano triennale dei lavori pubblici e la programmazione dei pagamenti, ritenendo che la realizzazione degli interventi previsti per l’anno 2015 sarà possibile a condizione che siano concretamente reperiti i seguenti finanziamenti:</w:t>
      </w:r>
      <w:proofErr w:type="spellStart"/>
      <w:r>
        <w:rPr>
          <w:rFonts w:ascii="Arial" w:hAnsi="Arial" w:cs="Arial"/>
          <w:sz w:val="22"/>
          <w:szCs w:val="22"/>
        </w:rPr>
        <w:t>…………………………</w:t>
      </w:r>
      <w:proofErr w:type="spellEnd"/>
    </w:p>
    <w:p w:rsidR="00457C6B" w:rsidRDefault="00457C6B">
      <w:pPr>
        <w:rPr>
          <w:rFonts w:ascii="Arial" w:hAnsi="Arial" w:cs="Arial"/>
          <w:sz w:val="20"/>
        </w:rPr>
      </w:pPr>
    </w:p>
    <w:p w:rsidR="00457C6B" w:rsidRDefault="0047703E">
      <w:pPr>
        <w:numPr>
          <w:ilvl w:val="0"/>
          <w:numId w:val="16"/>
        </w:numPr>
        <w:rPr>
          <w:rFonts w:ascii="Arial" w:hAnsi="Arial" w:cs="Arial"/>
          <w:b/>
          <w:sz w:val="20"/>
        </w:rPr>
      </w:pPr>
      <w:r>
        <w:rPr>
          <w:rFonts w:ascii="Arial" w:hAnsi="Arial" w:cs="Arial"/>
          <w:b/>
          <w:sz w:val="20"/>
        </w:rPr>
        <w:t>Riguardo agli obiettivi di finanza pubblica (patto di stabilità)</w:t>
      </w:r>
    </w:p>
    <w:p w:rsidR="00457C6B" w:rsidRDefault="0047703E">
      <w:pPr>
        <w:pStyle w:val="tabella"/>
        <w:rPr>
          <w:i w:val="0"/>
          <w:sz w:val="22"/>
          <w:szCs w:val="22"/>
          <w:u w:val="none"/>
        </w:rPr>
      </w:pPr>
      <w:r>
        <w:rPr>
          <w:i w:val="0"/>
          <w:sz w:val="22"/>
          <w:szCs w:val="22"/>
          <w:u w:val="none"/>
        </w:rPr>
        <w:t>Con le previsioni contenute nello schema di bilancio, l’ente può conseguire negli anni 2015, 2016 e 2017, gli obiettivi di finanza pubblica.</w:t>
      </w:r>
    </w:p>
    <w:p w:rsidR="00457C6B" w:rsidRDefault="00457C6B">
      <w:pPr>
        <w:pStyle w:val="tabella"/>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i/>
          <w:color w:val="0000FF"/>
          <w:sz w:val="20"/>
          <w:szCs w:val="18"/>
        </w:rPr>
      </w:pPr>
      <w:r>
        <w:rPr>
          <w:rFonts w:ascii="Arial" w:hAnsi="Arial" w:cs="Arial"/>
          <w:b/>
          <w:i/>
          <w:color w:val="0000FF"/>
          <w:sz w:val="20"/>
          <w:szCs w:val="18"/>
        </w:rPr>
        <w:t>(oppure)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xml:space="preserve">L’Organo di revisione nel rilevare che dal prospetto allegato al bilancio non risultano conseguibili gli obiettivi del rispetto del patto di stabilità per gli anni </w:t>
      </w:r>
      <w:proofErr w:type="spellStart"/>
      <w:r>
        <w:rPr>
          <w:rFonts w:ascii="Arial" w:hAnsi="Arial" w:cs="Arial"/>
          <w:i/>
          <w:sz w:val="20"/>
          <w:szCs w:val="18"/>
          <w:u w:val="single"/>
        </w:rPr>
        <w:t>…………</w:t>
      </w:r>
      <w:proofErr w:type="spellEnd"/>
      <w:r>
        <w:rPr>
          <w:rFonts w:ascii="Arial" w:hAnsi="Arial" w:cs="Arial"/>
          <w:i/>
          <w:sz w:val="20"/>
          <w:szCs w:val="18"/>
          <w:u w:val="single"/>
        </w:rPr>
        <w:t xml:space="preserve"> invita l’Ente</w:t>
      </w:r>
      <w:r>
        <w:rPr>
          <w:rFonts w:ascii="Arial" w:hAnsi="Arial" w:cs="Arial"/>
          <w:i/>
          <w:sz w:val="20"/>
          <w:szCs w:val="18"/>
        </w:rPr>
        <w:t xml:space="preserve"> a riformulare le previsioni di competenza per la parte corrente o quelle di incasso e pagamento per la parte in conto capitale.</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xml:space="preserve">L’organo di revisione nel rilevare che nel pluriennale le previsioni sono state elaborate senza tenere conto degli effetti sanzionatori per il mancato rispetto del patto di stabilità interno 2014, in particolare per le limitazioni imposte alle spese </w:t>
      </w:r>
      <w:proofErr w:type="spellStart"/>
      <w:r>
        <w:rPr>
          <w:rFonts w:ascii="Arial" w:hAnsi="Arial" w:cs="Arial"/>
          <w:i/>
          <w:sz w:val="20"/>
          <w:szCs w:val="18"/>
          <w:u w:val="single"/>
        </w:rPr>
        <w:t>…………</w:t>
      </w:r>
      <w:proofErr w:type="spellEnd"/>
      <w:r>
        <w:rPr>
          <w:rFonts w:ascii="Arial" w:hAnsi="Arial" w:cs="Arial"/>
          <w:i/>
          <w:sz w:val="20"/>
          <w:szCs w:val="18"/>
          <w:u w:val="single"/>
        </w:rPr>
        <w:t xml:space="preserve"> invita l’Ente</w:t>
      </w:r>
      <w:r>
        <w:rPr>
          <w:rFonts w:ascii="Arial" w:hAnsi="Arial" w:cs="Arial"/>
          <w:i/>
          <w:sz w:val="20"/>
          <w:szCs w:val="18"/>
        </w:rPr>
        <w:t xml:space="preserve"> a riformulare le previsioni per gli anni </w:t>
      </w:r>
      <w:proofErr w:type="spellStart"/>
      <w:r>
        <w:rPr>
          <w:rFonts w:ascii="Arial" w:hAnsi="Arial" w:cs="Arial"/>
          <w:i/>
          <w:sz w:val="20"/>
          <w:szCs w:val="18"/>
        </w:rPr>
        <w:t>………………………</w:t>
      </w:r>
      <w:proofErr w:type="spellEnd"/>
      <w:r>
        <w:rPr>
          <w:rFonts w:ascii="Arial" w:hAnsi="Arial" w:cs="Arial"/>
          <w:i/>
          <w:sz w:val="20"/>
          <w:szCs w:val="18"/>
        </w:rPr>
        <w:t>.</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b/>
          <w:i/>
          <w:sz w:val="20"/>
          <w:szCs w:val="18"/>
        </w:rPr>
      </w:pPr>
      <w:r>
        <w:rPr>
          <w:rFonts w:ascii="Arial" w:hAnsi="Arial" w:cs="Arial"/>
          <w:i/>
          <w:color w:val="0000FF"/>
          <w:sz w:val="20"/>
          <w:szCs w:val="18"/>
        </w:rPr>
        <w:t>(</w:t>
      </w:r>
      <w:r>
        <w:rPr>
          <w:rFonts w:ascii="Arial" w:hAnsi="Arial" w:cs="Arial"/>
          <w:b/>
          <w:i/>
          <w:color w:val="0000FF"/>
          <w:sz w:val="20"/>
          <w:szCs w:val="18"/>
        </w:rPr>
        <w:t>Oppure ancora</w:t>
      </w:r>
      <w:r>
        <w:rPr>
          <w:rFonts w:ascii="Arial" w:hAnsi="Arial" w:cs="Arial"/>
          <w:i/>
          <w:sz w:val="20"/>
          <w:szCs w:val="18"/>
        </w:rPr>
        <w:t xml:space="preserve"> nel caso di raggiungimento “artificioso” del risultato dell’obiettivo programmato del Patto di Stabilità 2015)</w:t>
      </w:r>
      <w:r>
        <w:rPr>
          <w:rFonts w:ascii="Arial" w:hAnsi="Arial" w:cs="Arial"/>
          <w:b/>
          <w:i/>
          <w:sz w:val="20"/>
          <w:szCs w:val="18"/>
        </w:rPr>
        <w:t xml:space="preserve"> </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L’Organo di revisione, sebbene il prospetto dimostrativo delle previsioni di competenza e di cassa degli aggregati rilevanti ai fini del patto di stabilità 2015, allegato al bilancio, dimostri che sia conseguibile l’obiettivo programmato, ritiene che esso sia stato “artificiosamente” raggiunto in quanto si basa su:</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previsioni di entrata “dubbie” che non sembrano essere fondate su elementi certi ed attendibili (es. lotta evasione, proventi per concessioni di servizi a terzi, plusvalenze da alienazioni di beni patrimoniali, cessioni di partecipazioni, di aziende o rami d’azienda);</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previsioni di riscossioni “dubbie” che non sembrano essere fondate su elementi certi ed attendibili (es. concessioni edilizie, proventi immobiliari, ecc.);</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previsioni di “pagamento” non aderenti alla realtà dell’ente (es. decreti ingiuntivi);</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xml:space="preserve">- particolari modalità di cessione dei beni immobili (es. operazioni di cartolarizzazioni, permute in conto lavori pubblici, ecc.) </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non corretta imputazione delle entrate o delle uscite (es. utilizzo partite di giro per poste ordinarie di bilancio);</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assenza di previsioni di spesa (es. trasferimenti per “contratti di servizio”);</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rPr>
        <w:t>- utilizzo di forme elusive (es. operazioni con organismi partecipati poste in essere al solo fine di eludere quali contratti di servizio, accollo debito, concessione di crediti, ripiani di perdite ed aumenti di capitale per effetto di mancati trasferimenti, ecc);</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i/>
          <w:sz w:val="20"/>
          <w:szCs w:val="18"/>
        </w:rPr>
      </w:pPr>
      <w:r>
        <w:rPr>
          <w:rFonts w:ascii="Arial" w:hAnsi="Arial" w:cs="Arial"/>
          <w:i/>
          <w:sz w:val="20"/>
          <w:szCs w:val="18"/>
          <w:u w:val="single"/>
        </w:rPr>
        <w:lastRenderedPageBreak/>
        <w:t>invita l’Ente</w:t>
      </w:r>
      <w:r>
        <w:rPr>
          <w:rFonts w:ascii="Arial" w:hAnsi="Arial" w:cs="Arial"/>
          <w:i/>
          <w:sz w:val="20"/>
          <w:szCs w:val="18"/>
        </w:rPr>
        <w:t xml:space="preserve"> a riformulare le previsioni di competenza per la parte corrente o quelle di incasso e pagamento per la parte in conto capitale.</w:t>
      </w:r>
    </w:p>
    <w:p w:rsidR="00457C6B" w:rsidRDefault="00457C6B">
      <w:pPr>
        <w:rPr>
          <w:rFonts w:ascii="Arial" w:hAnsi="Arial" w:cs="Arial"/>
          <w:b/>
          <w:sz w:val="20"/>
        </w:rPr>
      </w:pPr>
    </w:p>
    <w:p w:rsidR="00457C6B" w:rsidRDefault="00457C6B">
      <w:pPr>
        <w:jc w:val="both"/>
        <w:rPr>
          <w:rFonts w:ascii="Arial" w:hAnsi="Arial" w:cs="Arial"/>
          <w:sz w:val="22"/>
          <w:szCs w:val="22"/>
        </w:rPr>
      </w:pPr>
    </w:p>
    <w:p w:rsidR="00457C6B" w:rsidRDefault="0047703E">
      <w:pPr>
        <w:jc w:val="both"/>
        <w:rPr>
          <w:rFonts w:ascii="Arial" w:hAnsi="Arial" w:cs="Arial"/>
          <w:b/>
          <w:sz w:val="22"/>
          <w:szCs w:val="22"/>
        </w:rPr>
      </w:pPr>
      <w:r>
        <w:rPr>
          <w:rFonts w:ascii="Arial" w:hAnsi="Arial" w:cs="Arial"/>
          <w:b/>
          <w:sz w:val="22"/>
          <w:szCs w:val="22"/>
        </w:rPr>
        <w:t>e) Salvaguardia equilibri</w:t>
      </w:r>
    </w:p>
    <w:p w:rsidR="00457C6B" w:rsidRDefault="00457C6B">
      <w:pPr>
        <w:jc w:val="both"/>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In sede di salvaguardia degli equilibri sarà possibile modificare le tariffe ed aliquote dei tributi di propria competenza in deroga all’art.1, comma 169 della Legge 296/2006.</w:t>
      </w:r>
    </w:p>
    <w:p w:rsidR="00457C6B" w:rsidRDefault="0047703E">
      <w:pPr>
        <w:jc w:val="both"/>
        <w:rPr>
          <w:rFonts w:ascii="Arial" w:hAnsi="Arial" w:cs="Arial"/>
          <w:sz w:val="22"/>
          <w:szCs w:val="22"/>
        </w:rPr>
      </w:pPr>
      <w:r>
        <w:rPr>
          <w:rFonts w:ascii="Arial" w:hAnsi="Arial" w:cs="Arial"/>
          <w:sz w:val="22"/>
          <w:szCs w:val="22"/>
        </w:rPr>
        <w:t>In sede di salvaguardia degli equilibri i proventi di alienazione potranno essere utilizzati solo per ripristinare gli equilibri di parte capitale.</w:t>
      </w:r>
    </w:p>
    <w:p w:rsidR="00457C6B" w:rsidRDefault="00457C6B">
      <w:pPr>
        <w:jc w:val="both"/>
        <w:rPr>
          <w:rFonts w:ascii="Arial" w:hAnsi="Arial" w:cs="Arial"/>
          <w:b/>
          <w:sz w:val="22"/>
          <w:szCs w:val="22"/>
        </w:rPr>
      </w:pPr>
    </w:p>
    <w:p w:rsidR="00457C6B" w:rsidRDefault="0047703E">
      <w:pPr>
        <w:jc w:val="both"/>
        <w:rPr>
          <w:rFonts w:ascii="Arial" w:hAnsi="Arial" w:cs="Arial"/>
          <w:b/>
          <w:sz w:val="22"/>
          <w:szCs w:val="22"/>
        </w:rPr>
      </w:pPr>
      <w:r>
        <w:rPr>
          <w:rFonts w:ascii="Arial" w:hAnsi="Arial" w:cs="Arial"/>
          <w:b/>
          <w:sz w:val="22"/>
          <w:szCs w:val="22"/>
        </w:rPr>
        <w:t>f) Obbligo di pubblicazione</w:t>
      </w:r>
    </w:p>
    <w:p w:rsidR="00457C6B" w:rsidRDefault="00457C6B">
      <w:pPr>
        <w:jc w:val="both"/>
        <w:rPr>
          <w:rFonts w:ascii="Arial" w:hAnsi="Arial" w:cs="Arial"/>
          <w:sz w:val="22"/>
          <w:szCs w:val="22"/>
        </w:rPr>
      </w:pPr>
    </w:p>
    <w:p w:rsidR="00457C6B" w:rsidRDefault="0047703E">
      <w:pPr>
        <w:jc w:val="both"/>
        <w:rPr>
          <w:rFonts w:ascii="Arial" w:hAnsi="Arial" w:cs="Arial"/>
          <w:sz w:val="22"/>
          <w:szCs w:val="22"/>
        </w:rPr>
      </w:pPr>
      <w:r>
        <w:rPr>
          <w:rFonts w:ascii="Arial" w:hAnsi="Arial" w:cs="Arial"/>
          <w:sz w:val="22"/>
          <w:szCs w:val="22"/>
        </w:rPr>
        <w:t xml:space="preserve">L’ente deve rispettare l’obbligo di pubblicazione stabilito dagli artt. 29 e 33 del </w:t>
      </w:r>
      <w:proofErr w:type="spellStart"/>
      <w:r>
        <w:rPr>
          <w:rFonts w:ascii="Arial" w:hAnsi="Arial" w:cs="Arial"/>
          <w:sz w:val="22"/>
          <w:szCs w:val="22"/>
        </w:rPr>
        <w:t>d.gs.</w:t>
      </w:r>
      <w:proofErr w:type="spellEnd"/>
      <w:r>
        <w:rPr>
          <w:rFonts w:ascii="Arial" w:hAnsi="Arial" w:cs="Arial"/>
          <w:sz w:val="22"/>
          <w:szCs w:val="22"/>
        </w:rPr>
        <w:t xml:space="preserve"> 14/3/2013 n.33:</w:t>
      </w:r>
    </w:p>
    <w:p w:rsidR="00457C6B" w:rsidRDefault="0047703E">
      <w:pPr>
        <w:jc w:val="both"/>
        <w:rPr>
          <w:rFonts w:ascii="Arial" w:hAnsi="Arial" w:cs="Arial"/>
          <w:sz w:val="22"/>
          <w:szCs w:val="22"/>
        </w:rPr>
      </w:pPr>
      <w:r>
        <w:rPr>
          <w:rFonts w:ascii="Arial" w:hAnsi="Arial" w:cs="Arial"/>
          <w:sz w:val="22"/>
          <w:szCs w:val="22"/>
        </w:rPr>
        <w:t>- del bilancio e documenti allegati, nonché in forma sintetica, aggregata e semplificata entro 30 giorni dall’adozione</w:t>
      </w:r>
    </w:p>
    <w:p w:rsidR="00457C6B" w:rsidRDefault="0047703E">
      <w:pPr>
        <w:jc w:val="both"/>
        <w:rPr>
          <w:rFonts w:ascii="Arial" w:hAnsi="Arial" w:cs="Arial"/>
          <w:sz w:val="22"/>
          <w:szCs w:val="22"/>
        </w:rPr>
      </w:pPr>
      <w:r>
        <w:rPr>
          <w:rFonts w:ascii="Arial" w:hAnsi="Arial" w:cs="Arial"/>
          <w:sz w:val="22"/>
          <w:szCs w:val="22"/>
        </w:rPr>
        <w:t xml:space="preserve">-dei dati relativi alle entrate e alla spesa del bilancio di previsione in formato tabellare aperto secondo lo schema definito con </w:t>
      </w:r>
      <w:proofErr w:type="spellStart"/>
      <w:r>
        <w:rPr>
          <w:rFonts w:ascii="Arial" w:hAnsi="Arial" w:cs="Arial"/>
          <w:sz w:val="22"/>
          <w:szCs w:val="22"/>
        </w:rPr>
        <w:t>Dpcm</w:t>
      </w:r>
      <w:proofErr w:type="spellEnd"/>
      <w:r>
        <w:rPr>
          <w:rFonts w:ascii="Arial" w:hAnsi="Arial" w:cs="Arial"/>
          <w:sz w:val="22"/>
          <w:szCs w:val="22"/>
        </w:rPr>
        <w:t xml:space="preserve"> 22/9/2014;</w:t>
      </w:r>
    </w:p>
    <w:p w:rsidR="00457C6B" w:rsidRDefault="0047703E">
      <w:pPr>
        <w:jc w:val="both"/>
        <w:rPr>
          <w:rFonts w:ascii="Arial" w:hAnsi="Arial" w:cs="Arial"/>
          <w:sz w:val="22"/>
          <w:szCs w:val="22"/>
        </w:rPr>
      </w:pPr>
      <w:r>
        <w:rPr>
          <w:rFonts w:ascii="Arial" w:hAnsi="Arial" w:cs="Arial"/>
          <w:sz w:val="22"/>
          <w:szCs w:val="22"/>
        </w:rPr>
        <w:t xml:space="preserve">-degli indicatori dei propri tempi di pagamento relativi agli acquisti di beni, servizi e forniture con cadenza trimestrale secondo lo schema tipo definito con </w:t>
      </w:r>
      <w:proofErr w:type="spellStart"/>
      <w:r>
        <w:rPr>
          <w:rFonts w:ascii="Arial" w:hAnsi="Arial" w:cs="Arial"/>
          <w:sz w:val="22"/>
          <w:szCs w:val="22"/>
        </w:rPr>
        <w:t>Dpcm</w:t>
      </w:r>
      <w:proofErr w:type="spellEnd"/>
      <w:r>
        <w:rPr>
          <w:rFonts w:ascii="Arial" w:hAnsi="Arial" w:cs="Arial"/>
          <w:sz w:val="22"/>
          <w:szCs w:val="22"/>
        </w:rPr>
        <w:t xml:space="preserve"> 22/9/2014.</w:t>
      </w:r>
    </w:p>
    <w:p w:rsidR="00457C6B" w:rsidRDefault="00457C6B">
      <w:pPr>
        <w:jc w:val="both"/>
        <w:rPr>
          <w:rFonts w:ascii="Arial" w:hAnsi="Arial" w:cs="Arial"/>
          <w:sz w:val="22"/>
          <w:szCs w:val="22"/>
        </w:rPr>
      </w:pPr>
    </w:p>
    <w:p w:rsidR="00457C6B" w:rsidRDefault="0047703E">
      <w:pPr>
        <w:jc w:val="both"/>
        <w:rPr>
          <w:rFonts w:ascii="Arial" w:hAnsi="Arial" w:cs="Arial"/>
          <w:b/>
          <w:sz w:val="22"/>
          <w:szCs w:val="22"/>
        </w:rPr>
      </w:pPr>
      <w:r>
        <w:rPr>
          <w:rFonts w:ascii="Arial" w:hAnsi="Arial" w:cs="Arial"/>
          <w:b/>
          <w:sz w:val="22"/>
          <w:szCs w:val="22"/>
        </w:rPr>
        <w:t>g) Adempimenti per il completamento dell’armonizzazione contabile</w:t>
      </w:r>
    </w:p>
    <w:p w:rsidR="00457C6B" w:rsidRDefault="0047703E">
      <w:pPr>
        <w:jc w:val="both"/>
        <w:rPr>
          <w:rFonts w:ascii="Arial" w:hAnsi="Arial" w:cs="Arial"/>
          <w:sz w:val="22"/>
          <w:szCs w:val="22"/>
        </w:rPr>
      </w:pPr>
      <w:r>
        <w:rPr>
          <w:rFonts w:ascii="Arial" w:hAnsi="Arial" w:cs="Arial"/>
          <w:sz w:val="22"/>
          <w:szCs w:val="22"/>
        </w:rPr>
        <w:t>Nel corso del 2015 l’ente dovrà avviare le attività necessarie per dare attuazione agli adempimenti dell’armonizzazione contabile rinviati al 2016, con particolare riferimento a:</w:t>
      </w:r>
    </w:p>
    <w:p w:rsidR="00457C6B" w:rsidRDefault="0047703E">
      <w:pPr>
        <w:pStyle w:val="Paragrafoelenco"/>
        <w:numPr>
          <w:ilvl w:val="0"/>
          <w:numId w:val="31"/>
        </w:numPr>
        <w:jc w:val="both"/>
        <w:rPr>
          <w:rFonts w:ascii="Arial" w:hAnsi="Arial" w:cs="Arial"/>
          <w:sz w:val="22"/>
          <w:szCs w:val="22"/>
        </w:rPr>
      </w:pPr>
      <w:r>
        <w:rPr>
          <w:rFonts w:ascii="Arial" w:hAnsi="Arial" w:cs="Arial"/>
          <w:sz w:val="22"/>
          <w:szCs w:val="22"/>
        </w:rPr>
        <w:t>l’aggiornamento delle procedure informatiche necessarie per la contabilità economico patrimoniale;</w:t>
      </w:r>
    </w:p>
    <w:p w:rsidR="00457C6B" w:rsidRDefault="0047703E">
      <w:pPr>
        <w:pStyle w:val="Paragrafoelenco"/>
        <w:numPr>
          <w:ilvl w:val="0"/>
          <w:numId w:val="31"/>
        </w:numPr>
        <w:jc w:val="both"/>
        <w:rPr>
          <w:rFonts w:ascii="Arial" w:hAnsi="Arial" w:cs="Arial"/>
          <w:sz w:val="22"/>
          <w:szCs w:val="22"/>
        </w:rPr>
      </w:pPr>
      <w:r>
        <w:rPr>
          <w:rFonts w:ascii="Arial" w:hAnsi="Arial" w:cs="Arial"/>
          <w:sz w:val="22"/>
          <w:szCs w:val="22"/>
        </w:rPr>
        <w:t>l’aggiornamento dell’inventario;</w:t>
      </w:r>
    </w:p>
    <w:p w:rsidR="00457C6B" w:rsidRDefault="0047703E">
      <w:pPr>
        <w:pStyle w:val="Paragrafoelenco"/>
        <w:numPr>
          <w:ilvl w:val="0"/>
          <w:numId w:val="31"/>
        </w:numPr>
        <w:jc w:val="both"/>
        <w:rPr>
          <w:rFonts w:ascii="Arial" w:hAnsi="Arial" w:cs="Arial"/>
          <w:sz w:val="22"/>
          <w:szCs w:val="22"/>
        </w:rPr>
      </w:pPr>
      <w:r>
        <w:rPr>
          <w:rFonts w:ascii="Arial" w:hAnsi="Arial" w:cs="Arial"/>
          <w:sz w:val="22"/>
          <w:szCs w:val="22"/>
        </w:rPr>
        <w:t>la codifica del’inventario secondo il piano patrimoniale del piano dei conti integrato (allegato n. 6 al DLgs 118/2011);</w:t>
      </w:r>
    </w:p>
    <w:p w:rsidR="00457C6B" w:rsidRDefault="0047703E">
      <w:pPr>
        <w:pStyle w:val="Paragrafoelenco"/>
        <w:numPr>
          <w:ilvl w:val="0"/>
          <w:numId w:val="31"/>
        </w:numPr>
        <w:jc w:val="both"/>
        <w:rPr>
          <w:rFonts w:ascii="Arial" w:hAnsi="Arial" w:cs="Arial"/>
          <w:sz w:val="22"/>
          <w:szCs w:val="22"/>
        </w:rPr>
      </w:pPr>
      <w:r>
        <w:rPr>
          <w:rFonts w:ascii="Arial" w:hAnsi="Arial" w:cs="Arial"/>
          <w:sz w:val="22"/>
          <w:szCs w:val="22"/>
        </w:rPr>
        <w:t>la valutazione delle voci dell’attivo e del passivo nel rispetto del principio applicato della contabilità economico patrimoniale;</w:t>
      </w:r>
    </w:p>
    <w:p w:rsidR="00457C6B" w:rsidRDefault="0047703E">
      <w:pPr>
        <w:pStyle w:val="Paragrafoelenco"/>
        <w:numPr>
          <w:ilvl w:val="0"/>
          <w:numId w:val="31"/>
        </w:numPr>
        <w:jc w:val="both"/>
        <w:rPr>
          <w:rFonts w:ascii="Arial" w:hAnsi="Arial" w:cs="Arial"/>
          <w:sz w:val="22"/>
          <w:szCs w:val="22"/>
        </w:rPr>
      </w:pPr>
      <w:r>
        <w:rPr>
          <w:rFonts w:ascii="Arial" w:hAnsi="Arial" w:cs="Arial"/>
          <w:sz w:val="22"/>
          <w:szCs w:val="22"/>
        </w:rPr>
        <w:t>la ricognizione del perimetro del gruppo amministrazione pubblica ai fini del bilancio consolidato.</w:t>
      </w:r>
    </w:p>
    <w:p w:rsidR="00457C6B" w:rsidRDefault="00457C6B">
      <w:pPr>
        <w:pStyle w:val="Paragrafoelenco"/>
        <w:ind w:left="360"/>
        <w:jc w:val="both"/>
        <w:rPr>
          <w:rFonts w:ascii="Arial" w:hAnsi="Arial" w:cs="Arial"/>
          <w:sz w:val="22"/>
          <w:szCs w:val="22"/>
        </w:rPr>
      </w:pPr>
    </w:p>
    <w:p w:rsidR="00457C6B" w:rsidRDefault="0047703E">
      <w:pPr>
        <w:pStyle w:val="Paragrafoelenco"/>
        <w:ind w:left="0"/>
        <w:jc w:val="both"/>
        <w:rPr>
          <w:rFonts w:ascii="Arial" w:hAnsi="Arial" w:cs="Arial"/>
          <w:b/>
          <w:sz w:val="22"/>
          <w:szCs w:val="22"/>
        </w:rPr>
      </w:pPr>
      <w:r>
        <w:rPr>
          <w:rFonts w:ascii="Arial" w:hAnsi="Arial" w:cs="Arial"/>
          <w:b/>
          <w:sz w:val="22"/>
          <w:szCs w:val="22"/>
        </w:rPr>
        <w:t>h) Utilizzo avanzo d’amministrazione non vincolato</w:t>
      </w:r>
    </w:p>
    <w:p w:rsidR="00457C6B" w:rsidRDefault="0047703E">
      <w:pPr>
        <w:contextualSpacing/>
        <w:jc w:val="both"/>
        <w:rPr>
          <w:rFonts w:ascii="Arial" w:eastAsia="Calibri" w:hAnsi="Arial" w:cs="Arial"/>
          <w:sz w:val="22"/>
          <w:szCs w:val="22"/>
        </w:rPr>
      </w:pPr>
      <w:r>
        <w:rPr>
          <w:rFonts w:ascii="Arial" w:hAnsi="Arial" w:cs="Arial"/>
          <w:sz w:val="22"/>
          <w:szCs w:val="22"/>
        </w:rPr>
        <w:t xml:space="preserve">Come indicato nel principio contabile applicato alla contabilità finanziaria allegato al </w:t>
      </w:r>
      <w:proofErr w:type="spellStart"/>
      <w:r>
        <w:rPr>
          <w:rFonts w:ascii="Arial" w:hAnsi="Arial" w:cs="Arial"/>
          <w:sz w:val="22"/>
          <w:szCs w:val="22"/>
        </w:rPr>
        <w:t>dlgs</w:t>
      </w:r>
      <w:proofErr w:type="spellEnd"/>
      <w:r>
        <w:rPr>
          <w:rFonts w:ascii="Arial" w:hAnsi="Arial" w:cs="Arial"/>
          <w:sz w:val="22"/>
          <w:szCs w:val="22"/>
        </w:rPr>
        <w:t xml:space="preserve">. 118/2011, la quota libera del risultato di amministrazione può essere utilizzata con il bilancio di previsione o </w:t>
      </w:r>
      <w:r>
        <w:rPr>
          <w:rFonts w:ascii="Arial" w:eastAsia="Calibri" w:hAnsi="Arial" w:cs="Arial"/>
          <w:sz w:val="22"/>
          <w:szCs w:val="22"/>
        </w:rPr>
        <w:t xml:space="preserve">con provvedimento di variazione di bilancio, </w:t>
      </w:r>
      <w:r>
        <w:rPr>
          <w:rFonts w:ascii="Arial" w:hAnsi="Arial" w:cs="Arial"/>
          <w:sz w:val="22"/>
          <w:szCs w:val="22"/>
        </w:rPr>
        <w:t xml:space="preserve">solo a seguito dell’approvazione del rendiconto, </w:t>
      </w:r>
      <w:r>
        <w:rPr>
          <w:rFonts w:ascii="Arial" w:eastAsia="Calibri" w:hAnsi="Arial" w:cs="Arial"/>
          <w:sz w:val="22"/>
          <w:szCs w:val="22"/>
        </w:rPr>
        <w:t>per le finalità di seguito indicate in ordine di priorità:</w:t>
      </w:r>
    </w:p>
    <w:p w:rsidR="00457C6B" w:rsidRDefault="0047703E">
      <w:pPr>
        <w:pStyle w:val="Paragrafoelenco"/>
        <w:numPr>
          <w:ilvl w:val="0"/>
          <w:numId w:val="33"/>
        </w:numPr>
        <w:spacing w:after="200"/>
        <w:ind w:left="920" w:hanging="425"/>
        <w:jc w:val="both"/>
        <w:rPr>
          <w:rFonts w:ascii="Arial" w:eastAsia="Calibri" w:hAnsi="Arial" w:cs="Arial"/>
          <w:sz w:val="22"/>
          <w:szCs w:val="22"/>
        </w:rPr>
      </w:pPr>
      <w:r>
        <w:rPr>
          <w:rFonts w:ascii="Arial" w:eastAsia="Calibri" w:hAnsi="Arial" w:cs="Arial"/>
          <w:sz w:val="22"/>
          <w:szCs w:val="22"/>
        </w:rPr>
        <w:t>per la copertura dei debiti fuori bilancio;</w:t>
      </w:r>
    </w:p>
    <w:p w:rsidR="00457C6B" w:rsidRDefault="0047703E">
      <w:pPr>
        <w:pStyle w:val="Paragrafoelenco"/>
        <w:numPr>
          <w:ilvl w:val="0"/>
          <w:numId w:val="33"/>
        </w:numPr>
        <w:spacing w:after="200"/>
        <w:ind w:left="920" w:hanging="425"/>
        <w:jc w:val="both"/>
        <w:rPr>
          <w:rFonts w:ascii="Arial" w:eastAsia="Calibri" w:hAnsi="Arial" w:cs="Arial"/>
          <w:sz w:val="22"/>
          <w:szCs w:val="22"/>
        </w:rPr>
      </w:pPr>
      <w:r>
        <w:rPr>
          <w:rFonts w:ascii="Arial" w:eastAsia="Calibri" w:hAnsi="Arial" w:cs="Arial"/>
          <w:sz w:val="22"/>
          <w:szCs w:val="22"/>
        </w:rPr>
        <w:t>per i provvedimenti necessari per la salvaguardia degli equilibri di bilancio (per gli enti locali previsti dall'articolo 193 del TUEL) ove non possa provvedersi con mezzi ordinari;</w:t>
      </w:r>
    </w:p>
    <w:p w:rsidR="00457C6B" w:rsidRDefault="0047703E">
      <w:pPr>
        <w:pStyle w:val="Paragrafoelenco"/>
        <w:numPr>
          <w:ilvl w:val="0"/>
          <w:numId w:val="33"/>
        </w:numPr>
        <w:spacing w:after="200"/>
        <w:ind w:left="920" w:hanging="425"/>
        <w:jc w:val="both"/>
        <w:rPr>
          <w:rFonts w:ascii="Arial" w:eastAsia="Calibri" w:hAnsi="Arial" w:cs="Arial"/>
          <w:sz w:val="22"/>
          <w:szCs w:val="22"/>
        </w:rPr>
      </w:pPr>
      <w:r>
        <w:rPr>
          <w:rFonts w:ascii="Arial" w:eastAsia="Calibri" w:hAnsi="Arial" w:cs="Arial"/>
          <w:sz w:val="22"/>
          <w:szCs w:val="22"/>
        </w:rPr>
        <w:t>per il finanziamento di spese di investimento;</w:t>
      </w:r>
    </w:p>
    <w:p w:rsidR="00457C6B" w:rsidRDefault="0047703E">
      <w:pPr>
        <w:pStyle w:val="Paragrafoelenco"/>
        <w:numPr>
          <w:ilvl w:val="0"/>
          <w:numId w:val="33"/>
        </w:numPr>
        <w:spacing w:after="200"/>
        <w:ind w:left="920" w:hanging="425"/>
        <w:jc w:val="both"/>
        <w:rPr>
          <w:rFonts w:ascii="Arial" w:eastAsia="Calibri" w:hAnsi="Arial" w:cs="Arial"/>
          <w:sz w:val="22"/>
          <w:szCs w:val="22"/>
        </w:rPr>
      </w:pPr>
      <w:r>
        <w:rPr>
          <w:rFonts w:ascii="Arial" w:eastAsia="Calibri" w:hAnsi="Arial" w:cs="Arial"/>
          <w:sz w:val="22"/>
          <w:szCs w:val="22"/>
        </w:rPr>
        <w:t>per il finanziamento delle spese correnti a carattere non permanente;</w:t>
      </w:r>
    </w:p>
    <w:p w:rsidR="00457C6B" w:rsidRDefault="0047703E">
      <w:pPr>
        <w:pStyle w:val="Paragrafoelenco"/>
        <w:numPr>
          <w:ilvl w:val="0"/>
          <w:numId w:val="33"/>
        </w:numPr>
        <w:spacing w:after="200"/>
        <w:ind w:left="920" w:hanging="425"/>
        <w:jc w:val="both"/>
        <w:rPr>
          <w:rFonts w:ascii="Arial" w:eastAsia="Calibri" w:hAnsi="Arial" w:cs="Arial"/>
          <w:sz w:val="22"/>
          <w:szCs w:val="22"/>
        </w:rPr>
      </w:pPr>
      <w:r>
        <w:rPr>
          <w:rFonts w:ascii="Arial" w:eastAsia="Calibri" w:hAnsi="Arial" w:cs="Arial"/>
          <w:sz w:val="22"/>
          <w:szCs w:val="22"/>
        </w:rPr>
        <w:t>per l’estinzione anticipata dei prestiti.</w:t>
      </w:r>
    </w:p>
    <w:p w:rsidR="00457C6B" w:rsidRDefault="00457C6B">
      <w:pPr>
        <w:pStyle w:val="Paragrafoelenco"/>
        <w:ind w:left="360"/>
        <w:jc w:val="both"/>
      </w:pPr>
    </w:p>
    <w:p w:rsidR="00457C6B" w:rsidRDefault="0047703E">
      <w:pPr>
        <w:pStyle w:val="tabella"/>
        <w:rPr>
          <w:i w:val="0"/>
          <w:sz w:val="22"/>
          <w:szCs w:val="22"/>
          <w:u w:val="none"/>
        </w:rPr>
      </w:pPr>
      <w:bookmarkStart w:id="50" w:name="_CONCLUSIONI"/>
      <w:bookmarkEnd w:id="50"/>
      <w:r>
        <w:rPr>
          <w:b/>
          <w:i w:val="0"/>
        </w:rPr>
        <w:br w:type="page"/>
      </w:r>
    </w:p>
    <w:p w:rsidR="00457C6B" w:rsidRDefault="00457C6B">
      <w:pPr>
        <w:pStyle w:val="tabella"/>
        <w:rPr>
          <w:i w:val="0"/>
          <w:sz w:val="22"/>
          <w:szCs w:val="22"/>
          <w:u w:val="none"/>
        </w:rPr>
      </w:pPr>
    </w:p>
    <w:p w:rsidR="00457C6B" w:rsidRDefault="0047703E">
      <w:pPr>
        <w:pStyle w:val="Titolo1"/>
      </w:pPr>
      <w:bookmarkStart w:id="51" w:name="_Toc408988077"/>
      <w:r>
        <w:t>CONCLUSIONI</w:t>
      </w:r>
      <w:bookmarkEnd w:id="51"/>
    </w:p>
    <w:p w:rsidR="00457C6B" w:rsidRDefault="0047703E">
      <w:pPr>
        <w:jc w:val="both"/>
        <w:rPr>
          <w:rFonts w:ascii="Arial" w:hAnsi="Arial" w:cs="Arial"/>
          <w:sz w:val="22"/>
          <w:szCs w:val="22"/>
        </w:rPr>
      </w:pPr>
      <w:r>
        <w:rPr>
          <w:rFonts w:ascii="Arial" w:hAnsi="Arial" w:cs="Arial"/>
          <w:sz w:val="22"/>
          <w:szCs w:val="22"/>
        </w:rPr>
        <w:t xml:space="preserve">In relazione alle motivazioni specificate nel presente parere, richiamato l’articolo 239 del </w:t>
      </w:r>
      <w:r>
        <w:rPr>
          <w:rFonts w:ascii="Arial" w:hAnsi="Arial" w:cs="Arial"/>
          <w:sz w:val="20"/>
          <w:szCs w:val="20"/>
        </w:rPr>
        <w:t>TUEL</w:t>
      </w:r>
      <w:r>
        <w:rPr>
          <w:rFonts w:ascii="Arial" w:hAnsi="Arial" w:cs="Arial"/>
          <w:sz w:val="22"/>
          <w:szCs w:val="22"/>
        </w:rPr>
        <w:t xml:space="preserve"> e tenuto conto:</w:t>
      </w:r>
    </w:p>
    <w:p w:rsidR="00457C6B" w:rsidRDefault="0047703E">
      <w:pPr>
        <w:numPr>
          <w:ilvl w:val="0"/>
          <w:numId w:val="19"/>
        </w:numPr>
        <w:tabs>
          <w:tab w:val="left" w:pos="360"/>
        </w:tabs>
        <w:spacing w:before="120"/>
        <w:ind w:left="357" w:hanging="357"/>
        <w:jc w:val="both"/>
        <w:rPr>
          <w:rFonts w:ascii="Arial" w:hAnsi="Arial" w:cs="Arial"/>
          <w:sz w:val="22"/>
          <w:szCs w:val="22"/>
        </w:rPr>
      </w:pPr>
      <w:r>
        <w:rPr>
          <w:rFonts w:ascii="Arial" w:hAnsi="Arial" w:cs="Arial"/>
          <w:sz w:val="22"/>
          <w:szCs w:val="22"/>
        </w:rPr>
        <w:t>del parere espresso dal responsabile del servizio finanziario</w:t>
      </w:r>
    </w:p>
    <w:p w:rsidR="00457C6B" w:rsidRDefault="0047703E">
      <w:pPr>
        <w:numPr>
          <w:ilvl w:val="0"/>
          <w:numId w:val="19"/>
        </w:numPr>
        <w:tabs>
          <w:tab w:val="left" w:pos="360"/>
        </w:tabs>
        <w:spacing w:before="120"/>
        <w:ind w:left="357" w:hanging="357"/>
        <w:jc w:val="both"/>
        <w:rPr>
          <w:rFonts w:ascii="Arial" w:hAnsi="Arial" w:cs="Arial"/>
          <w:sz w:val="22"/>
          <w:szCs w:val="22"/>
        </w:rPr>
      </w:pPr>
      <w:r>
        <w:rPr>
          <w:rFonts w:ascii="Arial" w:hAnsi="Arial" w:cs="Arial"/>
          <w:sz w:val="22"/>
          <w:szCs w:val="22"/>
        </w:rPr>
        <w:t>delle variazioni rispetto all’anno precedente</w:t>
      </w:r>
    </w:p>
    <w:p w:rsidR="00457C6B" w:rsidRDefault="0047703E">
      <w:pPr>
        <w:pStyle w:val="BodyText21"/>
        <w:spacing w:before="240"/>
        <w:rPr>
          <w:rFonts w:cs="Arial"/>
          <w:b w:val="0"/>
          <w:i w:val="0"/>
          <w:sz w:val="22"/>
          <w:szCs w:val="22"/>
        </w:rPr>
      </w:pPr>
      <w:r>
        <w:rPr>
          <w:rFonts w:cs="Arial"/>
          <w:b w:val="0"/>
          <w:i w:val="0"/>
          <w:sz w:val="22"/>
          <w:szCs w:val="22"/>
        </w:rPr>
        <w:t>l’organo di revisione:</w:t>
      </w:r>
    </w:p>
    <w:p w:rsidR="00457C6B" w:rsidRDefault="0047703E">
      <w:pPr>
        <w:numPr>
          <w:ilvl w:val="0"/>
          <w:numId w:val="20"/>
        </w:numPr>
        <w:jc w:val="both"/>
        <w:rPr>
          <w:rFonts w:ascii="Arial" w:hAnsi="Arial" w:cs="Arial"/>
          <w:i/>
          <w:sz w:val="22"/>
          <w:szCs w:val="22"/>
        </w:rPr>
      </w:pPr>
      <w:r>
        <w:rPr>
          <w:rFonts w:ascii="Arial" w:hAnsi="Arial" w:cs="Arial"/>
          <w:sz w:val="22"/>
          <w:szCs w:val="22"/>
        </w:rPr>
        <w:t xml:space="preserve">ha verificato che il bilancio è stato redatto nell’osservanza delle norme di Legge, dello statuto dell’ente, del regolamento di contabilità, dei  principi previsti dall’articolo 162 del </w:t>
      </w:r>
      <w:r>
        <w:rPr>
          <w:rFonts w:ascii="Arial" w:hAnsi="Arial" w:cs="Arial"/>
          <w:sz w:val="20"/>
          <w:szCs w:val="20"/>
        </w:rPr>
        <w:t>TUEL</w:t>
      </w:r>
      <w:r>
        <w:rPr>
          <w:rFonts w:ascii="Arial" w:hAnsi="Arial" w:cs="Arial"/>
          <w:sz w:val="22"/>
          <w:szCs w:val="22"/>
        </w:rPr>
        <w:t>, dei postulati dei principi contabili degli enti locali e del principio contabile n. 1 degli enti locali;</w:t>
      </w:r>
    </w:p>
    <w:p w:rsidR="00457C6B" w:rsidRDefault="0047703E">
      <w:pPr>
        <w:pStyle w:val="BodyText21"/>
        <w:numPr>
          <w:ilvl w:val="0"/>
          <w:numId w:val="20"/>
        </w:numPr>
        <w:spacing w:before="120"/>
        <w:rPr>
          <w:rFonts w:cs="Arial"/>
          <w:b w:val="0"/>
          <w:i w:val="0"/>
          <w:sz w:val="22"/>
          <w:szCs w:val="22"/>
        </w:rPr>
      </w:pPr>
      <w:r>
        <w:rPr>
          <w:rFonts w:cs="Arial"/>
          <w:b w:val="0"/>
          <w:i w:val="0"/>
          <w:sz w:val="22"/>
          <w:szCs w:val="22"/>
        </w:rPr>
        <w:t>ha rilevato la coerenza interna, la congruità e l’attendibilità contabile delle previsioni di bilancio e dei programmi e progetti;</w:t>
      </w:r>
    </w:p>
    <w:p w:rsidR="00457C6B" w:rsidRDefault="0047703E">
      <w:pPr>
        <w:pStyle w:val="BodyText21"/>
        <w:numPr>
          <w:ilvl w:val="0"/>
          <w:numId w:val="20"/>
        </w:numPr>
        <w:spacing w:before="120"/>
        <w:rPr>
          <w:rFonts w:cs="Arial"/>
          <w:b w:val="0"/>
          <w:i w:val="0"/>
          <w:sz w:val="22"/>
          <w:szCs w:val="22"/>
        </w:rPr>
      </w:pPr>
      <w:r>
        <w:rPr>
          <w:rFonts w:cs="Arial"/>
          <w:b w:val="0"/>
          <w:i w:val="0"/>
          <w:sz w:val="22"/>
          <w:szCs w:val="22"/>
        </w:rPr>
        <w:t>ha rilevato la coerenza esterna ed in particolare la possibilità con le previsioni proposte di rispettare i limiti disposti per il patto di stabilità e delle norme relative al concorso degli enti locali alla realizzazione degli obiettivi di finanza pubblica</w:t>
      </w:r>
    </w:p>
    <w:p w:rsidR="00457C6B" w:rsidRDefault="0047703E">
      <w:pPr>
        <w:pStyle w:val="BodyText21"/>
        <w:spacing w:before="120"/>
        <w:rPr>
          <w:rFonts w:cs="Arial"/>
          <w:b w:val="0"/>
          <w:i w:val="0"/>
          <w:sz w:val="22"/>
          <w:szCs w:val="22"/>
        </w:rPr>
      </w:pPr>
      <w:r>
        <w:rPr>
          <w:rFonts w:cs="Arial"/>
          <w:b w:val="0"/>
          <w:i w:val="0"/>
          <w:sz w:val="22"/>
          <w:szCs w:val="22"/>
        </w:rPr>
        <w:t>ed esprime, pertanto, parere favorevole sulla proposta di bilancio di previsione 2015 e sui documenti allegati.</w:t>
      </w:r>
    </w:p>
    <w:p w:rsidR="00457C6B" w:rsidRDefault="0047703E">
      <w:pPr>
        <w:pStyle w:val="BodyText21"/>
        <w:rPr>
          <w:rFonts w:cs="Arial"/>
          <w:b w:val="0"/>
          <w:i w:val="0"/>
          <w:color w:val="0000FF"/>
          <w:sz w:val="20"/>
        </w:rPr>
      </w:pPr>
      <w:r>
        <w:rPr>
          <w:rFonts w:cs="Arial"/>
          <w:b w:val="0"/>
          <w:i w:val="0"/>
          <w:color w:val="0000FF"/>
          <w:sz w:val="20"/>
        </w:rPr>
        <w:t>(Nel caso in cui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il patto di stabilità il parere può essere così articolato:)</w:t>
      </w:r>
    </w:p>
    <w:p w:rsidR="00457C6B" w:rsidRDefault="00457C6B">
      <w:pPr>
        <w:pStyle w:val="BodyText21"/>
        <w:rPr>
          <w:rFonts w:cs="Arial"/>
          <w:b w:val="0"/>
          <w:sz w:val="16"/>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0"/>
          <w:szCs w:val="20"/>
        </w:rPr>
      </w:pPr>
      <w:r>
        <w:rPr>
          <w:rFonts w:ascii="Arial" w:hAnsi="Arial" w:cs="Arial"/>
          <w:color w:val="0000FF"/>
          <w:sz w:val="20"/>
          <w:szCs w:val="20"/>
        </w:rPr>
        <w:t>Ipotesi 1</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L’organo di revisione esprime parere favorevole sulla proposta di bilancio 2015 e relativi allegati relativamente a:</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osservanza delle norme di Legge, dello statuto dell’ente, del regolamento di contabilità, dei principi previsti dall’articolo 162 del TUEL, dei postulati dei principi contabili degli enti locali e del principio contabile n. 1 degli enti locali;</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coerenza interna, congruità e attendibilità contabile delle previsioni di bilancio e dei programmi e progetti</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e parere non favorevole relativamente al mancato rispetto del principio della coerenza esterna ed in particolare sull’impossibilità con le previsioni proposte di rispettare i limiti disposti dalla Legge  per il patto di stabilità.</w:t>
      </w:r>
    </w:p>
    <w:p w:rsidR="00457C6B" w:rsidRDefault="00457C6B">
      <w:pPr>
        <w:tabs>
          <w:tab w:val="left" w:pos="5954"/>
        </w:tabs>
        <w:rPr>
          <w:rFonts w:ascii="Arial" w:hAnsi="Arial" w:cs="Arial"/>
          <w:i/>
          <w:sz w:val="20"/>
          <w:szCs w:val="20"/>
        </w:rPr>
      </w:pPr>
    </w:p>
    <w:p w:rsidR="00457C6B" w:rsidRDefault="0047703E">
      <w:pPr>
        <w:pBdr>
          <w:top w:val="outset" w:sz="6" w:space="1" w:color="auto"/>
          <w:left w:val="outset" w:sz="6" w:space="4" w:color="auto"/>
          <w:bottom w:val="inset" w:sz="6" w:space="1" w:color="auto"/>
          <w:right w:val="inset" w:sz="6" w:space="4" w:color="auto"/>
        </w:pBdr>
        <w:jc w:val="center"/>
        <w:rPr>
          <w:rFonts w:ascii="Arial" w:hAnsi="Arial" w:cs="Arial"/>
          <w:color w:val="0000FF"/>
          <w:sz w:val="20"/>
          <w:szCs w:val="20"/>
        </w:rPr>
      </w:pPr>
      <w:r>
        <w:rPr>
          <w:rFonts w:ascii="Arial" w:hAnsi="Arial" w:cs="Arial"/>
          <w:color w:val="0000FF"/>
          <w:sz w:val="20"/>
          <w:szCs w:val="20"/>
        </w:rPr>
        <w:t>Ipotesi 2</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L’organo di revisione esprime parere non favorevole sulla proposta di bilancio 2015 e relativi allegati in quanto le previsioni di bilancio:</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xml:space="preserve">non rispettano il principio della coerenza esterna ed in particolare gli obiettivi programmatici disposti dalla Legge per il patto di stabilità interno anno/i </w:t>
      </w:r>
      <w:proofErr w:type="spellStart"/>
      <w:r>
        <w:rPr>
          <w:rFonts w:ascii="Arial" w:hAnsi="Arial" w:cs="Arial"/>
          <w:sz w:val="20"/>
          <w:szCs w:val="20"/>
        </w:rPr>
        <w:t>……</w:t>
      </w:r>
      <w:proofErr w:type="spellEnd"/>
      <w:r>
        <w:rPr>
          <w:rFonts w:ascii="Arial" w:hAnsi="Arial" w:cs="Arial"/>
          <w:sz w:val="20"/>
          <w:szCs w:val="20"/>
        </w:rPr>
        <w:t>.;</w:t>
      </w:r>
    </w:p>
    <w:p w:rsidR="00457C6B" w:rsidRDefault="0047703E">
      <w:pPr>
        <w:pBdr>
          <w:top w:val="outset" w:sz="6" w:space="1" w:color="auto"/>
          <w:left w:val="outset" w:sz="6" w:space="4" w:color="auto"/>
          <w:bottom w:val="inset" w:sz="6" w:space="1" w:color="auto"/>
          <w:right w:val="inset" w:sz="6" w:space="4" w:color="auto"/>
        </w:pBdr>
        <w:jc w:val="both"/>
        <w:rPr>
          <w:rFonts w:ascii="Arial" w:hAnsi="Arial" w:cs="Arial"/>
          <w:sz w:val="20"/>
          <w:szCs w:val="20"/>
        </w:rPr>
      </w:pPr>
      <w:r>
        <w:rPr>
          <w:rFonts w:ascii="Arial" w:hAnsi="Arial" w:cs="Arial"/>
          <w:sz w:val="20"/>
          <w:szCs w:val="20"/>
        </w:rPr>
        <w:t xml:space="preserve">non tengono conto degli  effetti sanzionatori per il mancato rispetto del patto di stabilità interno anno </w:t>
      </w:r>
      <w:proofErr w:type="spellStart"/>
      <w:r>
        <w:rPr>
          <w:rFonts w:ascii="Arial" w:hAnsi="Arial" w:cs="Arial"/>
          <w:sz w:val="20"/>
          <w:szCs w:val="20"/>
        </w:rPr>
        <w:t>……</w:t>
      </w:r>
      <w:proofErr w:type="spellEnd"/>
      <w:r>
        <w:rPr>
          <w:rFonts w:ascii="Arial" w:hAnsi="Arial" w:cs="Arial"/>
          <w:sz w:val="20"/>
          <w:szCs w:val="20"/>
        </w:rPr>
        <w:t>.., in particolare per le limitazioni imposte alle spese.</w:t>
      </w:r>
    </w:p>
    <w:p w:rsidR="00457C6B" w:rsidRDefault="00457C6B">
      <w:pPr>
        <w:pBdr>
          <w:top w:val="outset" w:sz="6" w:space="1" w:color="auto"/>
          <w:left w:val="outset" w:sz="6" w:space="4" w:color="auto"/>
          <w:bottom w:val="inset" w:sz="6" w:space="1" w:color="auto"/>
          <w:right w:val="inset" w:sz="6" w:space="4" w:color="auto"/>
        </w:pBdr>
        <w:tabs>
          <w:tab w:val="left" w:pos="5954"/>
        </w:tabs>
        <w:rPr>
          <w:rFonts w:ascii="Arial" w:hAnsi="Arial" w:cs="Arial"/>
          <w:b/>
          <w:sz w:val="20"/>
          <w:szCs w:val="20"/>
        </w:rPr>
      </w:pPr>
    </w:p>
    <w:p w:rsidR="00457C6B" w:rsidRDefault="00457C6B">
      <w:pPr>
        <w:tabs>
          <w:tab w:val="left" w:pos="5954"/>
        </w:tabs>
        <w:rPr>
          <w:rFonts w:ascii="Arial" w:hAnsi="Arial" w:cs="Arial"/>
          <w:b/>
          <w:sz w:val="20"/>
        </w:rPr>
      </w:pPr>
    </w:p>
    <w:p w:rsidR="00457C6B" w:rsidRDefault="00457C6B">
      <w:pPr>
        <w:tabs>
          <w:tab w:val="left" w:pos="5954"/>
        </w:tabs>
        <w:rPr>
          <w:rFonts w:ascii="Arial" w:hAnsi="Arial" w:cs="Arial"/>
          <w:sz w:val="20"/>
        </w:rPr>
      </w:pPr>
    </w:p>
    <w:p w:rsidR="00457C6B" w:rsidRDefault="0047703E">
      <w:pPr>
        <w:tabs>
          <w:tab w:val="left" w:pos="5954"/>
        </w:tabs>
        <w:jc w:val="right"/>
        <w:rPr>
          <w:rFonts w:ascii="Arial" w:hAnsi="Arial" w:cs="Arial"/>
          <w:b/>
        </w:rPr>
      </w:pPr>
      <w:r>
        <w:rPr>
          <w:rFonts w:ascii="Arial" w:hAnsi="Arial" w:cs="Arial"/>
          <w:b/>
        </w:rPr>
        <w:t xml:space="preserve">L’ORGANO </w:t>
      </w:r>
      <w:proofErr w:type="spellStart"/>
      <w:r>
        <w:rPr>
          <w:rFonts w:ascii="Arial" w:hAnsi="Arial" w:cs="Arial"/>
          <w:b/>
        </w:rPr>
        <w:t>DI</w:t>
      </w:r>
      <w:proofErr w:type="spellEnd"/>
      <w:r>
        <w:rPr>
          <w:rFonts w:ascii="Arial" w:hAnsi="Arial" w:cs="Arial"/>
          <w:b/>
        </w:rPr>
        <w:t xml:space="preserve"> REVISIONE</w:t>
      </w:r>
    </w:p>
    <w:p w:rsidR="00457C6B" w:rsidRDefault="0047703E">
      <w:pPr>
        <w:pStyle w:val="Titolo"/>
        <w:rPr>
          <w:rFonts w:ascii="Verdana" w:hAnsi="Verdana"/>
          <w:i w:val="0"/>
          <w:sz w:val="40"/>
        </w:rPr>
      </w:pPr>
      <w:r>
        <w:rPr>
          <w:b w:val="0"/>
        </w:rPr>
        <w:br w:type="page"/>
      </w:r>
    </w:p>
    <w:p w:rsidR="00457C6B" w:rsidRDefault="00457C6B">
      <w:pPr>
        <w:pStyle w:val="Titolo"/>
        <w:pBdr>
          <w:top w:val="threeDEmboss" w:sz="18" w:space="1" w:color="auto"/>
          <w:left w:val="threeDEmboss" w:sz="18" w:space="4" w:color="auto"/>
          <w:bottom w:val="threeDEngrave" w:sz="18" w:space="1" w:color="auto"/>
          <w:right w:val="threeDEngrave" w:sz="18" w:space="4" w:color="auto"/>
        </w:pBdr>
        <w:rPr>
          <w:rFonts w:ascii="Verdana" w:hAnsi="Verdana"/>
          <w:i w:val="0"/>
          <w:sz w:val="40"/>
        </w:rPr>
      </w:pPr>
    </w:p>
    <w:p w:rsidR="00457C6B" w:rsidRDefault="0047703E">
      <w:pPr>
        <w:pStyle w:val="Titolo"/>
        <w:pBdr>
          <w:top w:val="threeDEmboss" w:sz="18" w:space="1" w:color="auto"/>
          <w:left w:val="threeDEmboss" w:sz="18" w:space="4" w:color="auto"/>
          <w:bottom w:val="threeDEngrave" w:sz="18" w:space="1" w:color="auto"/>
          <w:right w:val="threeDEngrave" w:sz="18" w:space="4" w:color="auto"/>
        </w:pBdr>
        <w:spacing w:after="0"/>
        <w:rPr>
          <w:rFonts w:ascii="Garamond" w:hAnsi="Garamond"/>
          <w:b w:val="0"/>
          <w:i w:val="0"/>
          <w:sz w:val="28"/>
        </w:rPr>
      </w:pPr>
      <w:r>
        <w:rPr>
          <w:rFonts w:ascii="Garamond" w:hAnsi="Garamond"/>
          <w:b w:val="0"/>
          <w:i w:val="0"/>
          <w:sz w:val="28"/>
        </w:rPr>
        <w:t>Il presente documento è stato elaborato da ANCREL</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rPr>
          <w:rFonts w:ascii="Garamond" w:hAnsi="Garamond"/>
          <w:b w:val="0"/>
          <w:i w:val="0"/>
          <w:sz w:val="28"/>
        </w:rPr>
      </w:pPr>
      <w:r>
        <w:rPr>
          <w:rFonts w:ascii="Garamond" w:hAnsi="Garamond"/>
          <w:b w:val="0"/>
          <w:i w:val="0"/>
          <w:sz w:val="28"/>
        </w:rPr>
        <w:t>(Associazione Nazionale Revisori e Certificatori Enti Locali)</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rPr>
          <w:rFonts w:ascii="Garamond" w:hAnsi="Garamond"/>
          <w:b w:val="0"/>
          <w:i w:val="0"/>
          <w:sz w:val="28"/>
        </w:rPr>
      </w:pPr>
      <w:r>
        <w:rPr>
          <w:rFonts w:ascii="Garamond" w:hAnsi="Garamond"/>
          <w:b w:val="0"/>
          <w:i w:val="0"/>
          <w:sz w:val="28"/>
        </w:rPr>
        <w:t>e messo a disposizione del Consiglio Nazionale dei dottori commercialisti e degli esperti contabili</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jc w:val="left"/>
        <w:rPr>
          <w:rFonts w:ascii="Garamond" w:hAnsi="Garamond"/>
          <w:b w:val="0"/>
          <w:i w:val="0"/>
          <w:sz w:val="22"/>
          <w:szCs w:val="22"/>
        </w:rPr>
      </w:pPr>
      <w:r>
        <w:rPr>
          <w:rFonts w:ascii="Garamond" w:hAnsi="Garamond"/>
          <w:b w:val="0"/>
          <w:i w:val="0"/>
          <w:sz w:val="28"/>
        </w:rPr>
        <w:t>Il documento è aggiornato sulla base della normativa per gli enti locali approvata fino al 31/12/2014 e tiene conto del rinvio al 31/3/2015, del termine per deliberare il bilancio di previsione 2015 stabilito con decreto del Ministero dell’Interno del 24/12/2014.</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jc w:val="both"/>
        <w:rPr>
          <w:rFonts w:ascii="Garamond" w:hAnsi="Garamond"/>
          <w:b w:val="0"/>
          <w:i w:val="0"/>
          <w:sz w:val="28"/>
        </w:rPr>
      </w:pPr>
      <w:r>
        <w:rPr>
          <w:rFonts w:ascii="Garamond" w:hAnsi="Garamond"/>
          <w:b w:val="0"/>
          <w:i w:val="0"/>
          <w:sz w:val="28"/>
        </w:rPr>
        <w:t xml:space="preserve">Il documento è composto di un testo word con traccia del parere dell’organo di revisione e da una cartella </w:t>
      </w:r>
      <w:proofErr w:type="spellStart"/>
      <w:r>
        <w:rPr>
          <w:rFonts w:ascii="Garamond" w:hAnsi="Garamond"/>
          <w:b w:val="0"/>
          <w:i w:val="0"/>
          <w:sz w:val="28"/>
        </w:rPr>
        <w:t>excel</w:t>
      </w:r>
      <w:proofErr w:type="spellEnd"/>
      <w:r>
        <w:rPr>
          <w:rFonts w:ascii="Garamond" w:hAnsi="Garamond"/>
          <w:b w:val="0"/>
          <w:i w:val="0"/>
          <w:sz w:val="28"/>
        </w:rPr>
        <w:t xml:space="preserve"> contenente le tabelle esposte nel documento word</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jc w:val="both"/>
        <w:rPr>
          <w:rFonts w:ascii="Garamond" w:hAnsi="Garamond"/>
          <w:b w:val="0"/>
          <w:i w:val="0"/>
          <w:sz w:val="28"/>
        </w:rPr>
      </w:pPr>
      <w:r>
        <w:rPr>
          <w:rFonts w:ascii="Garamond" w:hAnsi="Garamond"/>
          <w:b w:val="0"/>
          <w:i w:val="0"/>
          <w:sz w:val="28"/>
        </w:rPr>
        <w:t>ANCREL precisa che il documento costituisce soltanto una traccia per la formazione del parere da parte dell’organo di revisione, il quale resta ne esclusivo responsabile nei rapporti con tutti i soggetti dello stesso destinatari.</w:t>
      </w:r>
    </w:p>
    <w:p w:rsidR="00457C6B" w:rsidRDefault="0047703E">
      <w:pPr>
        <w:pStyle w:val="Titolo"/>
        <w:pBdr>
          <w:top w:val="threeDEmboss" w:sz="18" w:space="1" w:color="auto"/>
          <w:left w:val="threeDEmboss" w:sz="18" w:space="4" w:color="auto"/>
          <w:bottom w:val="threeDEngrave" w:sz="18" w:space="1" w:color="auto"/>
          <w:right w:val="threeDEngrave" w:sz="18" w:space="4" w:color="auto"/>
        </w:pBdr>
        <w:jc w:val="both"/>
        <w:rPr>
          <w:rFonts w:ascii="Garamond" w:hAnsi="Garamond"/>
          <w:b w:val="0"/>
          <w:i w:val="0"/>
          <w:sz w:val="28"/>
        </w:rPr>
      </w:pPr>
      <w:r>
        <w:rPr>
          <w:rFonts w:ascii="Garamond" w:hAnsi="Garamond"/>
          <w:b w:val="0"/>
          <w:i w:val="0"/>
          <w:sz w:val="28"/>
        </w:rPr>
        <w:t xml:space="preserve">ANCREL declina ogni responsabilità per eventuali errori nel contenuto del testo del parere ovvero nella formazione delle tabelle nell’accluso foglio di calcolo </w:t>
      </w:r>
      <w:proofErr w:type="spellStart"/>
      <w:r>
        <w:rPr>
          <w:rFonts w:ascii="Garamond" w:hAnsi="Garamond"/>
          <w:b w:val="0"/>
          <w:i w:val="0"/>
          <w:sz w:val="28"/>
        </w:rPr>
        <w:t>excel</w:t>
      </w:r>
      <w:proofErr w:type="spellEnd"/>
      <w:r>
        <w:rPr>
          <w:rFonts w:ascii="Garamond" w:hAnsi="Garamond"/>
          <w:b w:val="0"/>
          <w:i w:val="0"/>
          <w:sz w:val="28"/>
        </w:rPr>
        <w:t xml:space="preserve">. </w:t>
      </w:r>
    </w:p>
    <w:p w:rsidR="00457C6B" w:rsidRDefault="00457C6B">
      <w:pPr>
        <w:pStyle w:val="Titolo"/>
        <w:pBdr>
          <w:top w:val="threeDEmboss" w:sz="18" w:space="1" w:color="auto"/>
          <w:left w:val="threeDEmboss" w:sz="18" w:space="4" w:color="auto"/>
          <w:bottom w:val="threeDEngrave" w:sz="18" w:space="1" w:color="auto"/>
          <w:right w:val="threeDEngrave" w:sz="18" w:space="4" w:color="auto"/>
        </w:pBdr>
        <w:rPr>
          <w:rFonts w:ascii="Garamond" w:hAnsi="Garamond"/>
          <w:b w:val="0"/>
          <w:i w:val="0"/>
          <w:sz w:val="28"/>
        </w:rPr>
      </w:pPr>
    </w:p>
    <w:p w:rsidR="00457C6B" w:rsidRDefault="00457C6B">
      <w:pPr>
        <w:tabs>
          <w:tab w:val="left" w:pos="5954"/>
        </w:tabs>
        <w:jc w:val="right"/>
        <w:rPr>
          <w:rFonts w:ascii="Arial" w:hAnsi="Arial" w:cs="Arial"/>
          <w:b/>
        </w:rPr>
      </w:pPr>
    </w:p>
    <w:sectPr w:rsidR="00457C6B" w:rsidSect="00B771D5">
      <w:headerReference w:type="default" r:id="rId98"/>
      <w:footerReference w:type="even" r:id="rId99"/>
      <w:footerReference w:type="default" r:id="rId100"/>
      <w:type w:val="continuous"/>
      <w:pgSz w:w="11906" w:h="16838" w:code="9"/>
      <w:pgMar w:top="720" w:right="1469" w:bottom="851"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D5F" w:rsidRDefault="000E4D5F">
      <w:r>
        <w:separator/>
      </w:r>
    </w:p>
  </w:endnote>
  <w:endnote w:type="continuationSeparator" w:id="0">
    <w:p w:rsidR="000E4D5F" w:rsidRDefault="000E4D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Futura">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Albany AM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15A" w:rsidRDefault="00824CF3">
    <w:pPr>
      <w:pStyle w:val="Pidipagina"/>
      <w:framePr w:wrap="around" w:vAnchor="text" w:hAnchor="margin" w:xAlign="right" w:y="1"/>
      <w:rPr>
        <w:rStyle w:val="Numeropagina"/>
      </w:rPr>
    </w:pPr>
    <w:r>
      <w:rPr>
        <w:rStyle w:val="Numeropagina"/>
      </w:rPr>
      <w:fldChar w:fldCharType="begin"/>
    </w:r>
    <w:r w:rsidR="00AB315A">
      <w:rPr>
        <w:rStyle w:val="Numeropagina"/>
      </w:rPr>
      <w:instrText xml:space="preserve">PAGE  </w:instrText>
    </w:r>
    <w:r>
      <w:rPr>
        <w:rStyle w:val="Numeropagina"/>
      </w:rPr>
      <w:fldChar w:fldCharType="end"/>
    </w:r>
  </w:p>
  <w:p w:rsidR="00AB315A" w:rsidRDefault="00AB315A">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15A" w:rsidRDefault="00AB315A">
    <w:pPr>
      <w:pBdr>
        <w:top w:val="single" w:sz="4" w:space="1" w:color="auto"/>
      </w:pBdr>
      <w:tabs>
        <w:tab w:val="left" w:pos="0"/>
        <w:tab w:val="right" w:pos="9306"/>
      </w:tabs>
      <w:rPr>
        <w:rFonts w:ascii="Trebuchet MS" w:hAnsi="Trebuchet MS" w:cs="Arial"/>
        <w:b/>
        <w:sz w:val="18"/>
        <w:szCs w:val="20"/>
      </w:rPr>
    </w:pPr>
    <w:r>
      <w:rPr>
        <w:rFonts w:ascii="Trebuchet MS" w:hAnsi="Trebuchet MS" w:cs="Arial"/>
        <w:b/>
        <w:sz w:val="18"/>
        <w:szCs w:val="20"/>
      </w:rPr>
      <w:t xml:space="preserve">Parere dell’Organo di Revisione sul bilancio di previsione 2015 </w:t>
    </w:r>
    <w:r>
      <w:rPr>
        <w:rFonts w:ascii="Trebuchet MS" w:hAnsi="Trebuchet MS" w:cs="Arial"/>
        <w:b/>
        <w:sz w:val="18"/>
        <w:szCs w:val="20"/>
      </w:rPr>
      <w:tab/>
      <w:t xml:space="preserve">Pagina </w:t>
    </w:r>
    <w:r w:rsidR="00824CF3">
      <w:rPr>
        <w:rFonts w:ascii="Trebuchet MS" w:hAnsi="Trebuchet MS" w:cs="Arial"/>
        <w:b/>
        <w:sz w:val="18"/>
        <w:szCs w:val="20"/>
      </w:rPr>
      <w:fldChar w:fldCharType="begin"/>
    </w:r>
    <w:r>
      <w:rPr>
        <w:rFonts w:ascii="Trebuchet MS" w:hAnsi="Trebuchet MS" w:cs="Arial"/>
        <w:b/>
        <w:sz w:val="18"/>
        <w:szCs w:val="20"/>
      </w:rPr>
      <w:instrText xml:space="preserve"> PAGE </w:instrText>
    </w:r>
    <w:r w:rsidR="00824CF3">
      <w:rPr>
        <w:rFonts w:ascii="Trebuchet MS" w:hAnsi="Trebuchet MS" w:cs="Arial"/>
        <w:b/>
        <w:sz w:val="18"/>
        <w:szCs w:val="20"/>
      </w:rPr>
      <w:fldChar w:fldCharType="separate"/>
    </w:r>
    <w:r w:rsidR="003A5CD3">
      <w:rPr>
        <w:rFonts w:ascii="Trebuchet MS" w:hAnsi="Trebuchet MS" w:cs="Arial"/>
        <w:b/>
        <w:noProof/>
        <w:sz w:val="18"/>
        <w:szCs w:val="20"/>
      </w:rPr>
      <w:t>2</w:t>
    </w:r>
    <w:r w:rsidR="00824CF3">
      <w:rPr>
        <w:rFonts w:ascii="Trebuchet MS" w:hAnsi="Trebuchet MS" w:cs="Arial"/>
        <w:b/>
        <w:sz w:val="18"/>
        <w:szCs w:val="20"/>
      </w:rPr>
      <w:fldChar w:fldCharType="end"/>
    </w:r>
    <w:r>
      <w:rPr>
        <w:rFonts w:ascii="Trebuchet MS" w:hAnsi="Trebuchet MS" w:cs="Arial"/>
        <w:b/>
        <w:sz w:val="18"/>
        <w:szCs w:val="20"/>
      </w:rPr>
      <w:t xml:space="preserve"> di </w:t>
    </w:r>
    <w:r w:rsidR="00824CF3">
      <w:rPr>
        <w:rFonts w:ascii="Trebuchet MS" w:hAnsi="Trebuchet MS" w:cs="Arial"/>
        <w:b/>
        <w:sz w:val="18"/>
        <w:szCs w:val="20"/>
      </w:rPr>
      <w:fldChar w:fldCharType="begin"/>
    </w:r>
    <w:r>
      <w:rPr>
        <w:rFonts w:ascii="Trebuchet MS" w:hAnsi="Trebuchet MS" w:cs="Arial"/>
        <w:b/>
        <w:sz w:val="18"/>
        <w:szCs w:val="20"/>
      </w:rPr>
      <w:instrText xml:space="preserve"> NUMPAGES  </w:instrText>
    </w:r>
    <w:r w:rsidR="00824CF3">
      <w:rPr>
        <w:rFonts w:ascii="Trebuchet MS" w:hAnsi="Trebuchet MS" w:cs="Arial"/>
        <w:b/>
        <w:sz w:val="18"/>
        <w:szCs w:val="20"/>
      </w:rPr>
      <w:fldChar w:fldCharType="separate"/>
    </w:r>
    <w:r w:rsidR="003A5CD3">
      <w:rPr>
        <w:rFonts w:ascii="Trebuchet MS" w:hAnsi="Trebuchet MS" w:cs="Arial"/>
        <w:b/>
        <w:noProof/>
        <w:sz w:val="18"/>
        <w:szCs w:val="20"/>
      </w:rPr>
      <w:t>61</w:t>
    </w:r>
    <w:r w:rsidR="00824CF3">
      <w:rPr>
        <w:rFonts w:ascii="Trebuchet MS" w:hAnsi="Trebuchet MS" w:cs="Arial"/>
        <w:b/>
        <w:sz w:val="18"/>
        <w:szCs w:val="20"/>
      </w:rPr>
      <w:fldChar w:fldCharType="end"/>
    </w:r>
  </w:p>
  <w:p w:rsidR="00AB315A" w:rsidRDefault="00AB315A">
    <w:pPr>
      <w:pBdr>
        <w:top w:val="single" w:sz="4" w:space="1" w:color="auto"/>
      </w:pBdr>
      <w:tabs>
        <w:tab w:val="left" w:pos="0"/>
        <w:tab w:val="right" w:pos="9306"/>
      </w:tabs>
      <w:jc w:val="right"/>
      <w:rPr>
        <w:rFonts w:ascii="Trebuchet MS" w:hAnsi="Trebuchet MS" w:cs="Arial"/>
        <w:b/>
        <w:color w:val="7030A0"/>
        <w:sz w:val="18"/>
        <w:szCs w:val="20"/>
      </w:rPr>
    </w:pPr>
  </w:p>
  <w:p w:rsidR="00AB315A" w:rsidRDefault="00AB315A">
    <w:pPr>
      <w:pStyle w:val="Pidipagina"/>
      <w:pBdr>
        <w:top w:val="none" w:sz="0" w:space="0" w:color="auto"/>
      </w:pBdr>
      <w:tabs>
        <w:tab w:val="left" w:pos="0"/>
        <w:tab w:val="left" w:pos="8190"/>
      </w:tabs>
      <w:ind w:right="-50"/>
      <w:jc w:val="left"/>
      <w:rPr>
        <w:rFonts w:ascii="Garamond" w:hAnsi="Garamond"/>
        <w:sz w:val="20"/>
      </w:rPr>
    </w:pPr>
    <w:r>
      <w:rPr>
        <w:rFonts w:ascii="Garamond" w:hAnsi="Garamond"/>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D5F" w:rsidRDefault="000E4D5F">
      <w:r>
        <w:separator/>
      </w:r>
    </w:p>
  </w:footnote>
  <w:footnote w:type="continuationSeparator" w:id="0">
    <w:p w:rsidR="000E4D5F" w:rsidRDefault="000E4D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15A" w:rsidRDefault="00AB315A">
    <w:pPr>
      <w:pStyle w:val="Intestazione"/>
      <w:jc w:val="right"/>
      <w:rPr>
        <w:rFonts w:ascii="Trebuchet MS" w:hAnsi="Trebuchet MS" w:cs="Arial"/>
        <w:b/>
        <w:sz w:val="20"/>
      </w:rPr>
    </w:pPr>
    <w:r>
      <w:rPr>
        <w:rFonts w:ascii="Trebuchet MS" w:hAnsi="Trebuchet MS" w:cs="Arial"/>
        <w:b/>
        <w:sz w:val="20"/>
      </w:rPr>
      <w:t xml:space="preserve">Comune di </w:t>
    </w:r>
    <w:proofErr w:type="spellStart"/>
    <w:r>
      <w:rPr>
        <w:rFonts w:ascii="Trebuchet MS" w:hAnsi="Trebuchet MS" w:cs="Arial"/>
        <w:b/>
        <w:sz w:val="20"/>
      </w:rPr>
      <w:t>…………………………</w:t>
    </w:r>
    <w:proofErr w:type="spellEnd"/>
    <w:r>
      <w:rPr>
        <w:rFonts w:ascii="Trebuchet MS" w:hAnsi="Trebuchet MS" w:cs="Arial"/>
        <w:b/>
        <w:sz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83CB9"/>
    <w:multiLevelType w:val="hybridMultilevel"/>
    <w:tmpl w:val="522A6A5C"/>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0BDA68A6"/>
    <w:multiLevelType w:val="hybridMultilevel"/>
    <w:tmpl w:val="2A80E1AE"/>
    <w:lvl w:ilvl="0" w:tplc="2E9222DA">
      <w:start w:val="1"/>
      <w:numFmt w:val="bullet"/>
      <w:lvlText w:val=""/>
      <w:lvlJc w:val="left"/>
      <w:pPr>
        <w:tabs>
          <w:tab w:val="num" w:pos="720"/>
        </w:tabs>
        <w:ind w:left="720" w:hanging="360"/>
      </w:pPr>
      <w:rPr>
        <w:rFonts w:ascii="Wingdings" w:hAnsi="Wingdings" w:hint="default"/>
      </w:rPr>
    </w:lvl>
    <w:lvl w:ilvl="1" w:tplc="6178D6FC">
      <w:start w:val="1"/>
      <w:numFmt w:val="decimal"/>
      <w:lvlText w:val="%2."/>
      <w:lvlJc w:val="left"/>
      <w:pPr>
        <w:tabs>
          <w:tab w:val="num" w:pos="1440"/>
        </w:tabs>
        <w:ind w:left="1440" w:hanging="360"/>
      </w:pPr>
      <w:rPr>
        <w:rFonts w:cs="Times New Roman"/>
      </w:rPr>
    </w:lvl>
    <w:lvl w:ilvl="2" w:tplc="12129A52">
      <w:start w:val="1"/>
      <w:numFmt w:val="decimal"/>
      <w:lvlText w:val="%3."/>
      <w:lvlJc w:val="left"/>
      <w:pPr>
        <w:tabs>
          <w:tab w:val="num" w:pos="2160"/>
        </w:tabs>
        <w:ind w:left="2160" w:hanging="360"/>
      </w:pPr>
      <w:rPr>
        <w:rFonts w:cs="Times New Roman"/>
      </w:rPr>
    </w:lvl>
    <w:lvl w:ilvl="3" w:tplc="B8E020CC">
      <w:start w:val="1"/>
      <w:numFmt w:val="decimal"/>
      <w:lvlText w:val="%4."/>
      <w:lvlJc w:val="left"/>
      <w:pPr>
        <w:tabs>
          <w:tab w:val="num" w:pos="2880"/>
        </w:tabs>
        <w:ind w:left="2880" w:hanging="360"/>
      </w:pPr>
      <w:rPr>
        <w:rFonts w:cs="Times New Roman"/>
      </w:rPr>
    </w:lvl>
    <w:lvl w:ilvl="4" w:tplc="AFF4C130">
      <w:start w:val="1"/>
      <w:numFmt w:val="decimal"/>
      <w:lvlText w:val="%5."/>
      <w:lvlJc w:val="left"/>
      <w:pPr>
        <w:tabs>
          <w:tab w:val="num" w:pos="3600"/>
        </w:tabs>
        <w:ind w:left="3600" w:hanging="360"/>
      </w:pPr>
      <w:rPr>
        <w:rFonts w:cs="Times New Roman"/>
      </w:rPr>
    </w:lvl>
    <w:lvl w:ilvl="5" w:tplc="C56A2FD0">
      <w:start w:val="1"/>
      <w:numFmt w:val="decimal"/>
      <w:lvlText w:val="%6."/>
      <w:lvlJc w:val="left"/>
      <w:pPr>
        <w:tabs>
          <w:tab w:val="num" w:pos="4320"/>
        </w:tabs>
        <w:ind w:left="4320" w:hanging="360"/>
      </w:pPr>
      <w:rPr>
        <w:rFonts w:cs="Times New Roman"/>
      </w:rPr>
    </w:lvl>
    <w:lvl w:ilvl="6" w:tplc="C5803A66">
      <w:start w:val="1"/>
      <w:numFmt w:val="decimal"/>
      <w:lvlText w:val="%7."/>
      <w:lvlJc w:val="left"/>
      <w:pPr>
        <w:tabs>
          <w:tab w:val="num" w:pos="5040"/>
        </w:tabs>
        <w:ind w:left="5040" w:hanging="360"/>
      </w:pPr>
      <w:rPr>
        <w:rFonts w:cs="Times New Roman"/>
      </w:rPr>
    </w:lvl>
    <w:lvl w:ilvl="7" w:tplc="E2FA4612">
      <w:start w:val="1"/>
      <w:numFmt w:val="decimal"/>
      <w:lvlText w:val="%8."/>
      <w:lvlJc w:val="left"/>
      <w:pPr>
        <w:tabs>
          <w:tab w:val="num" w:pos="5760"/>
        </w:tabs>
        <w:ind w:left="5760" w:hanging="360"/>
      </w:pPr>
      <w:rPr>
        <w:rFonts w:cs="Times New Roman"/>
      </w:rPr>
    </w:lvl>
    <w:lvl w:ilvl="8" w:tplc="A58C6FC6">
      <w:start w:val="1"/>
      <w:numFmt w:val="decimal"/>
      <w:lvlText w:val="%9."/>
      <w:lvlJc w:val="left"/>
      <w:pPr>
        <w:tabs>
          <w:tab w:val="num" w:pos="6480"/>
        </w:tabs>
        <w:ind w:left="6480" w:hanging="360"/>
      </w:pPr>
      <w:rPr>
        <w:rFonts w:cs="Times New Roman"/>
      </w:rPr>
    </w:lvl>
  </w:abstractNum>
  <w:abstractNum w:abstractNumId="2">
    <w:nsid w:val="0D00741F"/>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83C7647"/>
    <w:multiLevelType w:val="hybridMultilevel"/>
    <w:tmpl w:val="C16498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2065F"/>
    <w:multiLevelType w:val="hybridMultilevel"/>
    <w:tmpl w:val="529225B0"/>
    <w:lvl w:ilvl="0" w:tplc="9E4EB31E">
      <w:start w:val="1"/>
      <w:numFmt w:val="lowerLetter"/>
      <w:lvlText w:val="%1)"/>
      <w:lvlJc w:val="left"/>
      <w:pPr>
        <w:tabs>
          <w:tab w:val="num" w:pos="360"/>
        </w:tabs>
        <w:ind w:left="360" w:hanging="360"/>
      </w:pPr>
      <w:rPr>
        <w:rFonts w:cs="Times New Roman"/>
      </w:rPr>
    </w:lvl>
    <w:lvl w:ilvl="1" w:tplc="17940F22">
      <w:start w:val="1"/>
      <w:numFmt w:val="decimal"/>
      <w:lvlText w:val="%2."/>
      <w:lvlJc w:val="left"/>
      <w:pPr>
        <w:tabs>
          <w:tab w:val="num" w:pos="1440"/>
        </w:tabs>
        <w:ind w:left="1440" w:hanging="360"/>
      </w:pPr>
      <w:rPr>
        <w:rFonts w:cs="Times New Roman"/>
      </w:rPr>
    </w:lvl>
    <w:lvl w:ilvl="2" w:tplc="ECCC0B60">
      <w:start w:val="1"/>
      <w:numFmt w:val="decimal"/>
      <w:lvlText w:val="%3."/>
      <w:lvlJc w:val="left"/>
      <w:pPr>
        <w:tabs>
          <w:tab w:val="num" w:pos="2160"/>
        </w:tabs>
        <w:ind w:left="2160" w:hanging="360"/>
      </w:pPr>
      <w:rPr>
        <w:rFonts w:cs="Times New Roman"/>
      </w:rPr>
    </w:lvl>
    <w:lvl w:ilvl="3" w:tplc="B4C20E10">
      <w:start w:val="1"/>
      <w:numFmt w:val="decimal"/>
      <w:lvlText w:val="%4."/>
      <w:lvlJc w:val="left"/>
      <w:pPr>
        <w:tabs>
          <w:tab w:val="num" w:pos="2880"/>
        </w:tabs>
        <w:ind w:left="2880" w:hanging="360"/>
      </w:pPr>
      <w:rPr>
        <w:rFonts w:cs="Times New Roman"/>
      </w:rPr>
    </w:lvl>
    <w:lvl w:ilvl="4" w:tplc="B9D24A38">
      <w:start w:val="1"/>
      <w:numFmt w:val="decimal"/>
      <w:lvlText w:val="%5."/>
      <w:lvlJc w:val="left"/>
      <w:pPr>
        <w:tabs>
          <w:tab w:val="num" w:pos="3600"/>
        </w:tabs>
        <w:ind w:left="3600" w:hanging="360"/>
      </w:pPr>
      <w:rPr>
        <w:rFonts w:cs="Times New Roman"/>
      </w:rPr>
    </w:lvl>
    <w:lvl w:ilvl="5" w:tplc="A9E4F8F4">
      <w:start w:val="1"/>
      <w:numFmt w:val="decimal"/>
      <w:lvlText w:val="%6."/>
      <w:lvlJc w:val="left"/>
      <w:pPr>
        <w:tabs>
          <w:tab w:val="num" w:pos="4320"/>
        </w:tabs>
        <w:ind w:left="4320" w:hanging="360"/>
      </w:pPr>
      <w:rPr>
        <w:rFonts w:cs="Times New Roman"/>
      </w:rPr>
    </w:lvl>
    <w:lvl w:ilvl="6" w:tplc="33269DFA">
      <w:start w:val="1"/>
      <w:numFmt w:val="decimal"/>
      <w:lvlText w:val="%7."/>
      <w:lvlJc w:val="left"/>
      <w:pPr>
        <w:tabs>
          <w:tab w:val="num" w:pos="5040"/>
        </w:tabs>
        <w:ind w:left="5040" w:hanging="360"/>
      </w:pPr>
      <w:rPr>
        <w:rFonts w:cs="Times New Roman"/>
      </w:rPr>
    </w:lvl>
    <w:lvl w:ilvl="7" w:tplc="21623512">
      <w:start w:val="1"/>
      <w:numFmt w:val="decimal"/>
      <w:lvlText w:val="%8."/>
      <w:lvlJc w:val="left"/>
      <w:pPr>
        <w:tabs>
          <w:tab w:val="num" w:pos="5760"/>
        </w:tabs>
        <w:ind w:left="5760" w:hanging="360"/>
      </w:pPr>
      <w:rPr>
        <w:rFonts w:cs="Times New Roman"/>
      </w:rPr>
    </w:lvl>
    <w:lvl w:ilvl="8" w:tplc="4224C682">
      <w:start w:val="1"/>
      <w:numFmt w:val="decimal"/>
      <w:lvlText w:val="%9."/>
      <w:lvlJc w:val="left"/>
      <w:pPr>
        <w:tabs>
          <w:tab w:val="num" w:pos="6480"/>
        </w:tabs>
        <w:ind w:left="6480" w:hanging="360"/>
      </w:pPr>
      <w:rPr>
        <w:rFonts w:cs="Times New Roman"/>
      </w:rPr>
    </w:lvl>
  </w:abstractNum>
  <w:abstractNum w:abstractNumId="6">
    <w:nsid w:val="23924C08"/>
    <w:multiLevelType w:val="hybridMultilevel"/>
    <w:tmpl w:val="7D2A212C"/>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51B3F06"/>
    <w:multiLevelType w:val="hybridMultilevel"/>
    <w:tmpl w:val="35E640E4"/>
    <w:lvl w:ilvl="0" w:tplc="1CEE31D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CB2614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9">
    <w:nsid w:val="314E3A2A"/>
    <w:multiLevelType w:val="hybridMultilevel"/>
    <w:tmpl w:val="43F0B89A"/>
    <w:lvl w:ilvl="0" w:tplc="DBB41A0E">
      <w:start w:val="1"/>
      <w:numFmt w:val="lowerLetter"/>
      <w:lvlText w:val="%1)"/>
      <w:lvlJc w:val="left"/>
      <w:pPr>
        <w:tabs>
          <w:tab w:val="num" w:pos="720"/>
        </w:tabs>
        <w:ind w:left="720" w:hanging="360"/>
      </w:pPr>
      <w:rPr>
        <w:rFonts w:cs="Times New Roman"/>
      </w:rPr>
    </w:lvl>
    <w:lvl w:ilvl="1" w:tplc="EFAC6184">
      <w:start w:val="1"/>
      <w:numFmt w:val="lowerLetter"/>
      <w:lvlText w:val="%2."/>
      <w:lvlJc w:val="left"/>
      <w:pPr>
        <w:tabs>
          <w:tab w:val="num" w:pos="1440"/>
        </w:tabs>
        <w:ind w:left="1440" w:hanging="360"/>
      </w:pPr>
      <w:rPr>
        <w:rFonts w:cs="Times New Roman"/>
      </w:rPr>
    </w:lvl>
    <w:lvl w:ilvl="2" w:tplc="93E2BE38">
      <w:start w:val="1"/>
      <w:numFmt w:val="decimal"/>
      <w:lvlText w:val="%3."/>
      <w:lvlJc w:val="left"/>
      <w:pPr>
        <w:tabs>
          <w:tab w:val="num" w:pos="2160"/>
        </w:tabs>
        <w:ind w:left="2160" w:hanging="360"/>
      </w:pPr>
      <w:rPr>
        <w:rFonts w:cs="Times New Roman"/>
      </w:rPr>
    </w:lvl>
    <w:lvl w:ilvl="3" w:tplc="16787C06">
      <w:start w:val="1"/>
      <w:numFmt w:val="decimal"/>
      <w:lvlText w:val="%4."/>
      <w:lvlJc w:val="left"/>
      <w:pPr>
        <w:tabs>
          <w:tab w:val="num" w:pos="2880"/>
        </w:tabs>
        <w:ind w:left="2880" w:hanging="360"/>
      </w:pPr>
      <w:rPr>
        <w:rFonts w:cs="Times New Roman"/>
      </w:rPr>
    </w:lvl>
    <w:lvl w:ilvl="4" w:tplc="77A462E8">
      <w:start w:val="1"/>
      <w:numFmt w:val="decimal"/>
      <w:lvlText w:val="%5."/>
      <w:lvlJc w:val="left"/>
      <w:pPr>
        <w:tabs>
          <w:tab w:val="num" w:pos="3600"/>
        </w:tabs>
        <w:ind w:left="3600" w:hanging="360"/>
      </w:pPr>
      <w:rPr>
        <w:rFonts w:cs="Times New Roman"/>
      </w:rPr>
    </w:lvl>
    <w:lvl w:ilvl="5" w:tplc="FA9E1236">
      <w:start w:val="1"/>
      <w:numFmt w:val="decimal"/>
      <w:lvlText w:val="%6."/>
      <w:lvlJc w:val="left"/>
      <w:pPr>
        <w:tabs>
          <w:tab w:val="num" w:pos="4320"/>
        </w:tabs>
        <w:ind w:left="4320" w:hanging="360"/>
      </w:pPr>
      <w:rPr>
        <w:rFonts w:cs="Times New Roman"/>
      </w:rPr>
    </w:lvl>
    <w:lvl w:ilvl="6" w:tplc="F698C73E">
      <w:start w:val="1"/>
      <w:numFmt w:val="decimal"/>
      <w:lvlText w:val="%7."/>
      <w:lvlJc w:val="left"/>
      <w:pPr>
        <w:tabs>
          <w:tab w:val="num" w:pos="5040"/>
        </w:tabs>
        <w:ind w:left="5040" w:hanging="360"/>
      </w:pPr>
      <w:rPr>
        <w:rFonts w:cs="Times New Roman"/>
      </w:rPr>
    </w:lvl>
    <w:lvl w:ilvl="7" w:tplc="1C4CEDEE">
      <w:start w:val="1"/>
      <w:numFmt w:val="decimal"/>
      <w:lvlText w:val="%8."/>
      <w:lvlJc w:val="left"/>
      <w:pPr>
        <w:tabs>
          <w:tab w:val="num" w:pos="5760"/>
        </w:tabs>
        <w:ind w:left="5760" w:hanging="360"/>
      </w:pPr>
      <w:rPr>
        <w:rFonts w:cs="Times New Roman"/>
      </w:rPr>
    </w:lvl>
    <w:lvl w:ilvl="8" w:tplc="72CEABEE">
      <w:start w:val="1"/>
      <w:numFmt w:val="decimal"/>
      <w:lvlText w:val="%9."/>
      <w:lvlJc w:val="left"/>
      <w:pPr>
        <w:tabs>
          <w:tab w:val="num" w:pos="6480"/>
        </w:tabs>
        <w:ind w:left="6480" w:hanging="360"/>
      </w:pPr>
      <w:rPr>
        <w:rFonts w:cs="Times New Roman"/>
      </w:rPr>
    </w:lvl>
  </w:abstractNum>
  <w:abstractNum w:abstractNumId="10">
    <w:nsid w:val="322F6AAC"/>
    <w:multiLevelType w:val="hybridMultilevel"/>
    <w:tmpl w:val="AFFCF448"/>
    <w:lvl w:ilvl="0" w:tplc="563A4456">
      <w:start w:val="1"/>
      <w:numFmt w:val="bullet"/>
      <w:lvlText w:val="-"/>
      <w:lvlJc w:val="left"/>
      <w:pPr>
        <w:tabs>
          <w:tab w:val="num" w:pos="360"/>
        </w:tabs>
        <w:ind w:left="360" w:hanging="360"/>
      </w:pPr>
      <w:rPr>
        <w:rFonts w:ascii="Times New Roman" w:eastAsia="Times New Roman" w:hAnsi="Times New Roman" w:hint="default"/>
        <w:b/>
      </w:rPr>
    </w:lvl>
    <w:lvl w:ilvl="1" w:tplc="0C4E783A">
      <w:start w:val="1"/>
      <w:numFmt w:val="bullet"/>
      <w:lvlText w:val="o"/>
      <w:lvlJc w:val="left"/>
      <w:pPr>
        <w:tabs>
          <w:tab w:val="num" w:pos="202"/>
        </w:tabs>
        <w:ind w:left="202" w:hanging="360"/>
      </w:pPr>
      <w:rPr>
        <w:rFonts w:ascii="Courier New" w:hAnsi="Courier New" w:hint="default"/>
      </w:rPr>
    </w:lvl>
    <w:lvl w:ilvl="2" w:tplc="B74A1E1C">
      <w:start w:val="1"/>
      <w:numFmt w:val="bullet"/>
      <w:lvlText w:val=""/>
      <w:lvlJc w:val="left"/>
      <w:pPr>
        <w:tabs>
          <w:tab w:val="num" w:pos="922"/>
        </w:tabs>
        <w:ind w:left="922" w:hanging="360"/>
      </w:pPr>
      <w:rPr>
        <w:rFonts w:ascii="Wingdings" w:hAnsi="Wingdings" w:hint="default"/>
      </w:rPr>
    </w:lvl>
    <w:lvl w:ilvl="3" w:tplc="85F8FCF2">
      <w:start w:val="1"/>
      <w:numFmt w:val="decimal"/>
      <w:lvlText w:val="%4."/>
      <w:lvlJc w:val="left"/>
      <w:pPr>
        <w:tabs>
          <w:tab w:val="num" w:pos="2700"/>
        </w:tabs>
        <w:ind w:left="2700" w:hanging="360"/>
      </w:pPr>
      <w:rPr>
        <w:rFonts w:cs="Times New Roman"/>
      </w:rPr>
    </w:lvl>
    <w:lvl w:ilvl="4" w:tplc="98C8A4F2">
      <w:start w:val="1"/>
      <w:numFmt w:val="decimal"/>
      <w:lvlText w:val="%5."/>
      <w:lvlJc w:val="left"/>
      <w:pPr>
        <w:tabs>
          <w:tab w:val="num" w:pos="3420"/>
        </w:tabs>
        <w:ind w:left="3420" w:hanging="360"/>
      </w:pPr>
      <w:rPr>
        <w:rFonts w:cs="Times New Roman"/>
      </w:rPr>
    </w:lvl>
    <w:lvl w:ilvl="5" w:tplc="5DDE61F6">
      <w:start w:val="1"/>
      <w:numFmt w:val="decimal"/>
      <w:lvlText w:val="%6."/>
      <w:lvlJc w:val="left"/>
      <w:pPr>
        <w:tabs>
          <w:tab w:val="num" w:pos="4140"/>
        </w:tabs>
        <w:ind w:left="4140" w:hanging="360"/>
      </w:pPr>
      <w:rPr>
        <w:rFonts w:cs="Times New Roman"/>
      </w:rPr>
    </w:lvl>
    <w:lvl w:ilvl="6" w:tplc="831A1644">
      <w:start w:val="1"/>
      <w:numFmt w:val="decimal"/>
      <w:lvlText w:val="%7."/>
      <w:lvlJc w:val="left"/>
      <w:pPr>
        <w:tabs>
          <w:tab w:val="num" w:pos="4860"/>
        </w:tabs>
        <w:ind w:left="4860" w:hanging="360"/>
      </w:pPr>
      <w:rPr>
        <w:rFonts w:cs="Times New Roman"/>
      </w:rPr>
    </w:lvl>
    <w:lvl w:ilvl="7" w:tplc="B6CE8C3A">
      <w:start w:val="1"/>
      <w:numFmt w:val="decimal"/>
      <w:lvlText w:val="%8."/>
      <w:lvlJc w:val="left"/>
      <w:pPr>
        <w:tabs>
          <w:tab w:val="num" w:pos="5580"/>
        </w:tabs>
        <w:ind w:left="5580" w:hanging="360"/>
      </w:pPr>
      <w:rPr>
        <w:rFonts w:cs="Times New Roman"/>
      </w:rPr>
    </w:lvl>
    <w:lvl w:ilvl="8" w:tplc="1DE09734">
      <w:start w:val="1"/>
      <w:numFmt w:val="decimal"/>
      <w:lvlText w:val="%9."/>
      <w:lvlJc w:val="left"/>
      <w:pPr>
        <w:tabs>
          <w:tab w:val="num" w:pos="6300"/>
        </w:tabs>
        <w:ind w:left="6300" w:hanging="360"/>
      </w:pPr>
      <w:rPr>
        <w:rFonts w:cs="Times New Roman"/>
      </w:rPr>
    </w:lvl>
  </w:abstractNum>
  <w:abstractNum w:abstractNumId="11">
    <w:nsid w:val="3A9E034D"/>
    <w:multiLevelType w:val="hybridMultilevel"/>
    <w:tmpl w:val="8C36729C"/>
    <w:lvl w:ilvl="0" w:tplc="04100017">
      <w:start w:val="1"/>
      <w:numFmt w:val="lowerLetter"/>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2">
    <w:nsid w:val="3BFB5AE0"/>
    <w:multiLevelType w:val="hybridMultilevel"/>
    <w:tmpl w:val="13002C18"/>
    <w:lvl w:ilvl="0" w:tplc="329A885E">
      <w:start w:val="1"/>
      <w:numFmt w:val="lowerLetter"/>
      <w:lvlText w:val="%1)"/>
      <w:lvlJc w:val="left"/>
      <w:pPr>
        <w:tabs>
          <w:tab w:val="num" w:pos="360"/>
        </w:tabs>
        <w:ind w:left="360" w:hanging="360"/>
      </w:pPr>
      <w:rPr>
        <w:rFonts w:cs="Times New Roman"/>
      </w:rPr>
    </w:lvl>
    <w:lvl w:ilvl="1" w:tplc="135ADF94">
      <w:start w:val="1"/>
      <w:numFmt w:val="bullet"/>
      <w:lvlText w:val="-"/>
      <w:lvlJc w:val="left"/>
      <w:pPr>
        <w:tabs>
          <w:tab w:val="num" w:pos="1080"/>
        </w:tabs>
        <w:ind w:left="1080" w:hanging="360"/>
      </w:pPr>
      <w:rPr>
        <w:rFonts w:ascii="Times New Roman" w:eastAsia="Times New Roman" w:hAnsi="Times New Roman" w:hint="default"/>
      </w:rPr>
    </w:lvl>
    <w:lvl w:ilvl="2" w:tplc="AA26F750">
      <w:start w:val="1"/>
      <w:numFmt w:val="decimal"/>
      <w:lvlText w:val="%3."/>
      <w:lvlJc w:val="left"/>
      <w:pPr>
        <w:tabs>
          <w:tab w:val="num" w:pos="2160"/>
        </w:tabs>
        <w:ind w:left="2160" w:hanging="360"/>
      </w:pPr>
      <w:rPr>
        <w:rFonts w:cs="Times New Roman"/>
      </w:rPr>
    </w:lvl>
    <w:lvl w:ilvl="3" w:tplc="728825D6">
      <w:start w:val="1"/>
      <w:numFmt w:val="decimal"/>
      <w:lvlText w:val="%4."/>
      <w:lvlJc w:val="left"/>
      <w:pPr>
        <w:tabs>
          <w:tab w:val="num" w:pos="2880"/>
        </w:tabs>
        <w:ind w:left="2880" w:hanging="360"/>
      </w:pPr>
      <w:rPr>
        <w:rFonts w:cs="Times New Roman"/>
      </w:rPr>
    </w:lvl>
    <w:lvl w:ilvl="4" w:tplc="FC8AF38C">
      <w:start w:val="1"/>
      <w:numFmt w:val="decimal"/>
      <w:lvlText w:val="%5."/>
      <w:lvlJc w:val="left"/>
      <w:pPr>
        <w:tabs>
          <w:tab w:val="num" w:pos="3600"/>
        </w:tabs>
        <w:ind w:left="3600" w:hanging="360"/>
      </w:pPr>
      <w:rPr>
        <w:rFonts w:cs="Times New Roman"/>
      </w:rPr>
    </w:lvl>
    <w:lvl w:ilvl="5" w:tplc="C750F4F8">
      <w:start w:val="1"/>
      <w:numFmt w:val="decimal"/>
      <w:lvlText w:val="%6."/>
      <w:lvlJc w:val="left"/>
      <w:pPr>
        <w:tabs>
          <w:tab w:val="num" w:pos="4320"/>
        </w:tabs>
        <w:ind w:left="4320" w:hanging="360"/>
      </w:pPr>
      <w:rPr>
        <w:rFonts w:cs="Times New Roman"/>
      </w:rPr>
    </w:lvl>
    <w:lvl w:ilvl="6" w:tplc="8AEA98C8">
      <w:start w:val="1"/>
      <w:numFmt w:val="decimal"/>
      <w:lvlText w:val="%7."/>
      <w:lvlJc w:val="left"/>
      <w:pPr>
        <w:tabs>
          <w:tab w:val="num" w:pos="5040"/>
        </w:tabs>
        <w:ind w:left="5040" w:hanging="360"/>
      </w:pPr>
      <w:rPr>
        <w:rFonts w:cs="Times New Roman"/>
      </w:rPr>
    </w:lvl>
    <w:lvl w:ilvl="7" w:tplc="CE7C0182">
      <w:start w:val="1"/>
      <w:numFmt w:val="decimal"/>
      <w:lvlText w:val="%8."/>
      <w:lvlJc w:val="left"/>
      <w:pPr>
        <w:tabs>
          <w:tab w:val="num" w:pos="5760"/>
        </w:tabs>
        <w:ind w:left="5760" w:hanging="360"/>
      </w:pPr>
      <w:rPr>
        <w:rFonts w:cs="Times New Roman"/>
      </w:rPr>
    </w:lvl>
    <w:lvl w:ilvl="8" w:tplc="10A876F6">
      <w:start w:val="1"/>
      <w:numFmt w:val="decimal"/>
      <w:lvlText w:val="%9."/>
      <w:lvlJc w:val="left"/>
      <w:pPr>
        <w:tabs>
          <w:tab w:val="num" w:pos="6480"/>
        </w:tabs>
        <w:ind w:left="6480" w:hanging="360"/>
      </w:pPr>
      <w:rPr>
        <w:rFonts w:cs="Times New Roman"/>
      </w:rPr>
    </w:lvl>
  </w:abstractNum>
  <w:abstractNum w:abstractNumId="13">
    <w:nsid w:val="41674EDD"/>
    <w:multiLevelType w:val="hybridMultilevel"/>
    <w:tmpl w:val="7794CAFA"/>
    <w:lvl w:ilvl="0" w:tplc="47088B96">
      <w:start w:val="1"/>
      <w:numFmt w:val="lowerLetter"/>
      <w:lvlText w:val="%1)"/>
      <w:lvlJc w:val="left"/>
      <w:pPr>
        <w:tabs>
          <w:tab w:val="num" w:pos="720"/>
        </w:tabs>
        <w:ind w:left="720" w:hanging="360"/>
      </w:pPr>
      <w:rPr>
        <w:rFonts w:cs="Times New Roman"/>
      </w:rPr>
    </w:lvl>
    <w:lvl w:ilvl="1" w:tplc="7AB8859A">
      <w:start w:val="1"/>
      <w:numFmt w:val="bullet"/>
      <w:lvlText w:val="-"/>
      <w:lvlJc w:val="left"/>
      <w:pPr>
        <w:tabs>
          <w:tab w:val="num" w:pos="1080"/>
        </w:tabs>
        <w:ind w:left="1080" w:hanging="360"/>
      </w:pPr>
      <w:rPr>
        <w:rFonts w:ascii="Times New Roman" w:eastAsia="Times New Roman" w:hAnsi="Times New Roman" w:hint="default"/>
      </w:rPr>
    </w:lvl>
    <w:lvl w:ilvl="2" w:tplc="EB06D38C">
      <w:start w:val="1"/>
      <w:numFmt w:val="decimal"/>
      <w:lvlText w:val="%3."/>
      <w:lvlJc w:val="left"/>
      <w:pPr>
        <w:tabs>
          <w:tab w:val="num" w:pos="2160"/>
        </w:tabs>
        <w:ind w:left="2160" w:hanging="360"/>
      </w:pPr>
      <w:rPr>
        <w:rFonts w:cs="Times New Roman"/>
      </w:rPr>
    </w:lvl>
    <w:lvl w:ilvl="3" w:tplc="408A3E56">
      <w:start w:val="1"/>
      <w:numFmt w:val="decimal"/>
      <w:lvlText w:val="%4."/>
      <w:lvlJc w:val="left"/>
      <w:pPr>
        <w:tabs>
          <w:tab w:val="num" w:pos="2880"/>
        </w:tabs>
        <w:ind w:left="2880" w:hanging="360"/>
      </w:pPr>
      <w:rPr>
        <w:rFonts w:cs="Times New Roman"/>
      </w:rPr>
    </w:lvl>
    <w:lvl w:ilvl="4" w:tplc="BA5E576C">
      <w:start w:val="1"/>
      <w:numFmt w:val="decimal"/>
      <w:lvlText w:val="%5."/>
      <w:lvlJc w:val="left"/>
      <w:pPr>
        <w:tabs>
          <w:tab w:val="num" w:pos="3600"/>
        </w:tabs>
        <w:ind w:left="3600" w:hanging="360"/>
      </w:pPr>
      <w:rPr>
        <w:rFonts w:cs="Times New Roman"/>
      </w:rPr>
    </w:lvl>
    <w:lvl w:ilvl="5" w:tplc="46DA8616">
      <w:start w:val="1"/>
      <w:numFmt w:val="decimal"/>
      <w:lvlText w:val="%6."/>
      <w:lvlJc w:val="left"/>
      <w:pPr>
        <w:tabs>
          <w:tab w:val="num" w:pos="4320"/>
        </w:tabs>
        <w:ind w:left="4320" w:hanging="360"/>
      </w:pPr>
      <w:rPr>
        <w:rFonts w:cs="Times New Roman"/>
      </w:rPr>
    </w:lvl>
    <w:lvl w:ilvl="6" w:tplc="5A061284">
      <w:start w:val="1"/>
      <w:numFmt w:val="decimal"/>
      <w:lvlText w:val="%7."/>
      <w:lvlJc w:val="left"/>
      <w:pPr>
        <w:tabs>
          <w:tab w:val="num" w:pos="5040"/>
        </w:tabs>
        <w:ind w:left="5040" w:hanging="360"/>
      </w:pPr>
      <w:rPr>
        <w:rFonts w:cs="Times New Roman"/>
      </w:rPr>
    </w:lvl>
    <w:lvl w:ilvl="7" w:tplc="A7947CFE">
      <w:start w:val="1"/>
      <w:numFmt w:val="decimal"/>
      <w:lvlText w:val="%8."/>
      <w:lvlJc w:val="left"/>
      <w:pPr>
        <w:tabs>
          <w:tab w:val="num" w:pos="5760"/>
        </w:tabs>
        <w:ind w:left="5760" w:hanging="360"/>
      </w:pPr>
      <w:rPr>
        <w:rFonts w:cs="Times New Roman"/>
      </w:rPr>
    </w:lvl>
    <w:lvl w:ilvl="8" w:tplc="B1D6DE84">
      <w:start w:val="1"/>
      <w:numFmt w:val="decimal"/>
      <w:lvlText w:val="%9."/>
      <w:lvlJc w:val="left"/>
      <w:pPr>
        <w:tabs>
          <w:tab w:val="num" w:pos="6480"/>
        </w:tabs>
        <w:ind w:left="6480" w:hanging="360"/>
      </w:pPr>
      <w:rPr>
        <w:rFonts w:cs="Times New Roman"/>
      </w:rPr>
    </w:lvl>
  </w:abstractNum>
  <w:abstractNum w:abstractNumId="14">
    <w:nsid w:val="44511AD0"/>
    <w:multiLevelType w:val="multilevel"/>
    <w:tmpl w:val="D75EE6DA"/>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6FD1A65"/>
    <w:multiLevelType w:val="hybridMultilevel"/>
    <w:tmpl w:val="B448A3D8"/>
    <w:lvl w:ilvl="0" w:tplc="05640FE4">
      <w:start w:val="1"/>
      <w:numFmt w:val="lowerLetter"/>
      <w:lvlText w:val="%1)"/>
      <w:lvlJc w:val="left"/>
      <w:pPr>
        <w:tabs>
          <w:tab w:val="num" w:pos="1440"/>
        </w:tabs>
        <w:ind w:left="1440" w:hanging="360"/>
      </w:pPr>
      <w:rPr>
        <w:rFonts w:cs="Times New Roman" w:hint="default"/>
      </w:rPr>
    </w:lvl>
    <w:lvl w:ilvl="1" w:tplc="DFFC4016" w:tentative="1">
      <w:start w:val="1"/>
      <w:numFmt w:val="lowerLetter"/>
      <w:lvlText w:val="%2."/>
      <w:lvlJc w:val="left"/>
      <w:pPr>
        <w:tabs>
          <w:tab w:val="num" w:pos="2160"/>
        </w:tabs>
        <w:ind w:left="2160" w:hanging="360"/>
      </w:pPr>
      <w:rPr>
        <w:rFonts w:cs="Times New Roman"/>
      </w:rPr>
    </w:lvl>
    <w:lvl w:ilvl="2" w:tplc="16785166" w:tentative="1">
      <w:start w:val="1"/>
      <w:numFmt w:val="lowerRoman"/>
      <w:lvlText w:val="%3."/>
      <w:lvlJc w:val="right"/>
      <w:pPr>
        <w:tabs>
          <w:tab w:val="num" w:pos="2880"/>
        </w:tabs>
        <w:ind w:left="2880" w:hanging="180"/>
      </w:pPr>
      <w:rPr>
        <w:rFonts w:cs="Times New Roman"/>
      </w:rPr>
    </w:lvl>
    <w:lvl w:ilvl="3" w:tplc="07689E4E" w:tentative="1">
      <w:start w:val="1"/>
      <w:numFmt w:val="decimal"/>
      <w:lvlText w:val="%4."/>
      <w:lvlJc w:val="left"/>
      <w:pPr>
        <w:tabs>
          <w:tab w:val="num" w:pos="3600"/>
        </w:tabs>
        <w:ind w:left="3600" w:hanging="360"/>
      </w:pPr>
      <w:rPr>
        <w:rFonts w:cs="Times New Roman"/>
      </w:rPr>
    </w:lvl>
    <w:lvl w:ilvl="4" w:tplc="84C8696C" w:tentative="1">
      <w:start w:val="1"/>
      <w:numFmt w:val="lowerLetter"/>
      <w:lvlText w:val="%5."/>
      <w:lvlJc w:val="left"/>
      <w:pPr>
        <w:tabs>
          <w:tab w:val="num" w:pos="4320"/>
        </w:tabs>
        <w:ind w:left="4320" w:hanging="360"/>
      </w:pPr>
      <w:rPr>
        <w:rFonts w:cs="Times New Roman"/>
      </w:rPr>
    </w:lvl>
    <w:lvl w:ilvl="5" w:tplc="CEFE5AF4" w:tentative="1">
      <w:start w:val="1"/>
      <w:numFmt w:val="lowerRoman"/>
      <w:lvlText w:val="%6."/>
      <w:lvlJc w:val="right"/>
      <w:pPr>
        <w:tabs>
          <w:tab w:val="num" w:pos="5040"/>
        </w:tabs>
        <w:ind w:left="5040" w:hanging="180"/>
      </w:pPr>
      <w:rPr>
        <w:rFonts w:cs="Times New Roman"/>
      </w:rPr>
    </w:lvl>
    <w:lvl w:ilvl="6" w:tplc="AB3CBCB8" w:tentative="1">
      <w:start w:val="1"/>
      <w:numFmt w:val="decimal"/>
      <w:lvlText w:val="%7."/>
      <w:lvlJc w:val="left"/>
      <w:pPr>
        <w:tabs>
          <w:tab w:val="num" w:pos="5760"/>
        </w:tabs>
        <w:ind w:left="5760" w:hanging="360"/>
      </w:pPr>
      <w:rPr>
        <w:rFonts w:cs="Times New Roman"/>
      </w:rPr>
    </w:lvl>
    <w:lvl w:ilvl="7" w:tplc="7E666C34" w:tentative="1">
      <w:start w:val="1"/>
      <w:numFmt w:val="lowerLetter"/>
      <w:lvlText w:val="%8."/>
      <w:lvlJc w:val="left"/>
      <w:pPr>
        <w:tabs>
          <w:tab w:val="num" w:pos="6480"/>
        </w:tabs>
        <w:ind w:left="6480" w:hanging="360"/>
      </w:pPr>
      <w:rPr>
        <w:rFonts w:cs="Times New Roman"/>
      </w:rPr>
    </w:lvl>
    <w:lvl w:ilvl="8" w:tplc="9CDA04BA" w:tentative="1">
      <w:start w:val="1"/>
      <w:numFmt w:val="lowerRoman"/>
      <w:lvlText w:val="%9."/>
      <w:lvlJc w:val="right"/>
      <w:pPr>
        <w:tabs>
          <w:tab w:val="num" w:pos="7200"/>
        </w:tabs>
        <w:ind w:left="7200" w:hanging="180"/>
      </w:pPr>
      <w:rPr>
        <w:rFonts w:cs="Times New Roman"/>
      </w:rPr>
    </w:lvl>
  </w:abstractNum>
  <w:abstractNum w:abstractNumId="16">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7">
    <w:nsid w:val="4B4E285F"/>
    <w:multiLevelType w:val="hybridMultilevel"/>
    <w:tmpl w:val="071E461C"/>
    <w:lvl w:ilvl="0" w:tplc="903AAA68">
      <w:start w:val="16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D036B1"/>
    <w:multiLevelType w:val="hybridMultilevel"/>
    <w:tmpl w:val="C3C4EB30"/>
    <w:lvl w:ilvl="0" w:tplc="1CEE31D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4C85515C"/>
    <w:multiLevelType w:val="hybridMultilevel"/>
    <w:tmpl w:val="140EE472"/>
    <w:lvl w:ilvl="0" w:tplc="8A4600E8">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1">
    <w:nsid w:val="57510873"/>
    <w:multiLevelType w:val="hybridMultilevel"/>
    <w:tmpl w:val="BD9ED5C8"/>
    <w:lvl w:ilvl="0" w:tplc="DB5E4972">
      <w:start w:val="1"/>
      <w:numFmt w:val="bullet"/>
      <w:lvlText w:val="-"/>
      <w:lvlJc w:val="left"/>
      <w:pPr>
        <w:tabs>
          <w:tab w:val="num" w:pos="360"/>
        </w:tabs>
        <w:ind w:left="360" w:hanging="360"/>
      </w:pPr>
      <w:rPr>
        <w:rFonts w:ascii="Times New Roman" w:eastAsia="Times New Roman" w:hAnsi="Times New Roman" w:hint="default"/>
      </w:rPr>
    </w:lvl>
    <w:lvl w:ilvl="1" w:tplc="08CE3154">
      <w:start w:val="1"/>
      <w:numFmt w:val="decimal"/>
      <w:lvlText w:val="%2."/>
      <w:lvlJc w:val="left"/>
      <w:pPr>
        <w:tabs>
          <w:tab w:val="num" w:pos="1440"/>
        </w:tabs>
        <w:ind w:left="1440" w:hanging="360"/>
      </w:pPr>
      <w:rPr>
        <w:rFonts w:cs="Times New Roman"/>
      </w:rPr>
    </w:lvl>
    <w:lvl w:ilvl="2" w:tplc="CA8E5B60">
      <w:start w:val="1"/>
      <w:numFmt w:val="decimal"/>
      <w:lvlText w:val="%3."/>
      <w:lvlJc w:val="left"/>
      <w:pPr>
        <w:tabs>
          <w:tab w:val="num" w:pos="2160"/>
        </w:tabs>
        <w:ind w:left="2160" w:hanging="360"/>
      </w:pPr>
      <w:rPr>
        <w:rFonts w:cs="Times New Roman"/>
      </w:rPr>
    </w:lvl>
    <w:lvl w:ilvl="3" w:tplc="F086E606">
      <w:start w:val="1"/>
      <w:numFmt w:val="decimal"/>
      <w:lvlText w:val="%4."/>
      <w:lvlJc w:val="left"/>
      <w:pPr>
        <w:tabs>
          <w:tab w:val="num" w:pos="2880"/>
        </w:tabs>
        <w:ind w:left="2880" w:hanging="360"/>
      </w:pPr>
      <w:rPr>
        <w:rFonts w:cs="Times New Roman"/>
      </w:rPr>
    </w:lvl>
    <w:lvl w:ilvl="4" w:tplc="FF445D56">
      <w:start w:val="1"/>
      <w:numFmt w:val="decimal"/>
      <w:lvlText w:val="%5."/>
      <w:lvlJc w:val="left"/>
      <w:pPr>
        <w:tabs>
          <w:tab w:val="num" w:pos="3600"/>
        </w:tabs>
        <w:ind w:left="3600" w:hanging="360"/>
      </w:pPr>
      <w:rPr>
        <w:rFonts w:cs="Times New Roman"/>
      </w:rPr>
    </w:lvl>
    <w:lvl w:ilvl="5" w:tplc="4A724E74">
      <w:start w:val="1"/>
      <w:numFmt w:val="decimal"/>
      <w:lvlText w:val="%6."/>
      <w:lvlJc w:val="left"/>
      <w:pPr>
        <w:tabs>
          <w:tab w:val="num" w:pos="4320"/>
        </w:tabs>
        <w:ind w:left="4320" w:hanging="360"/>
      </w:pPr>
      <w:rPr>
        <w:rFonts w:cs="Times New Roman"/>
      </w:rPr>
    </w:lvl>
    <w:lvl w:ilvl="6" w:tplc="39C0E9D8">
      <w:start w:val="1"/>
      <w:numFmt w:val="decimal"/>
      <w:lvlText w:val="%7."/>
      <w:lvlJc w:val="left"/>
      <w:pPr>
        <w:tabs>
          <w:tab w:val="num" w:pos="5040"/>
        </w:tabs>
        <w:ind w:left="5040" w:hanging="360"/>
      </w:pPr>
      <w:rPr>
        <w:rFonts w:cs="Times New Roman"/>
      </w:rPr>
    </w:lvl>
    <w:lvl w:ilvl="7" w:tplc="A00EE5D2">
      <w:start w:val="1"/>
      <w:numFmt w:val="decimal"/>
      <w:lvlText w:val="%8."/>
      <w:lvlJc w:val="left"/>
      <w:pPr>
        <w:tabs>
          <w:tab w:val="num" w:pos="5760"/>
        </w:tabs>
        <w:ind w:left="5760" w:hanging="360"/>
      </w:pPr>
      <w:rPr>
        <w:rFonts w:cs="Times New Roman"/>
      </w:rPr>
    </w:lvl>
    <w:lvl w:ilvl="8" w:tplc="6C603138">
      <w:start w:val="1"/>
      <w:numFmt w:val="decimal"/>
      <w:lvlText w:val="%9."/>
      <w:lvlJc w:val="left"/>
      <w:pPr>
        <w:tabs>
          <w:tab w:val="num" w:pos="6480"/>
        </w:tabs>
        <w:ind w:left="6480" w:hanging="360"/>
      </w:pPr>
      <w:rPr>
        <w:rFonts w:cs="Times New Roman"/>
      </w:rPr>
    </w:lvl>
  </w:abstractNum>
  <w:abstractNum w:abstractNumId="22">
    <w:nsid w:val="5F5B60BD"/>
    <w:multiLevelType w:val="hybridMultilevel"/>
    <w:tmpl w:val="FC6451E6"/>
    <w:lvl w:ilvl="0" w:tplc="A8CC0ED0">
      <w:start w:val="1"/>
      <w:numFmt w:val="bullet"/>
      <w:lvlText w:val="-"/>
      <w:lvlJc w:val="left"/>
      <w:pPr>
        <w:tabs>
          <w:tab w:val="num" w:pos="360"/>
        </w:tabs>
        <w:ind w:left="360" w:hanging="360"/>
      </w:pPr>
      <w:rPr>
        <w:rFonts w:ascii="Times New Roman" w:eastAsia="Times New Roman" w:hAnsi="Times New Roman" w:hint="default"/>
      </w:rPr>
    </w:lvl>
    <w:lvl w:ilvl="1" w:tplc="94B8CAFC" w:tentative="1">
      <w:start w:val="1"/>
      <w:numFmt w:val="bullet"/>
      <w:lvlText w:val="o"/>
      <w:lvlJc w:val="left"/>
      <w:pPr>
        <w:tabs>
          <w:tab w:val="num" w:pos="1440"/>
        </w:tabs>
        <w:ind w:left="1440" w:hanging="360"/>
      </w:pPr>
      <w:rPr>
        <w:rFonts w:ascii="Courier New" w:hAnsi="Courier New" w:hint="default"/>
      </w:rPr>
    </w:lvl>
    <w:lvl w:ilvl="2" w:tplc="B13AABC2" w:tentative="1">
      <w:start w:val="1"/>
      <w:numFmt w:val="bullet"/>
      <w:lvlText w:val=""/>
      <w:lvlJc w:val="left"/>
      <w:pPr>
        <w:tabs>
          <w:tab w:val="num" w:pos="2160"/>
        </w:tabs>
        <w:ind w:left="2160" w:hanging="360"/>
      </w:pPr>
      <w:rPr>
        <w:rFonts w:ascii="Wingdings" w:hAnsi="Wingdings" w:hint="default"/>
      </w:rPr>
    </w:lvl>
    <w:lvl w:ilvl="3" w:tplc="B3E8417A" w:tentative="1">
      <w:start w:val="1"/>
      <w:numFmt w:val="bullet"/>
      <w:lvlText w:val=""/>
      <w:lvlJc w:val="left"/>
      <w:pPr>
        <w:tabs>
          <w:tab w:val="num" w:pos="2880"/>
        </w:tabs>
        <w:ind w:left="2880" w:hanging="360"/>
      </w:pPr>
      <w:rPr>
        <w:rFonts w:ascii="Symbol" w:hAnsi="Symbol" w:hint="default"/>
      </w:rPr>
    </w:lvl>
    <w:lvl w:ilvl="4" w:tplc="47481CA0" w:tentative="1">
      <w:start w:val="1"/>
      <w:numFmt w:val="bullet"/>
      <w:lvlText w:val="o"/>
      <w:lvlJc w:val="left"/>
      <w:pPr>
        <w:tabs>
          <w:tab w:val="num" w:pos="3600"/>
        </w:tabs>
        <w:ind w:left="3600" w:hanging="360"/>
      </w:pPr>
      <w:rPr>
        <w:rFonts w:ascii="Courier New" w:hAnsi="Courier New" w:hint="default"/>
      </w:rPr>
    </w:lvl>
    <w:lvl w:ilvl="5" w:tplc="693E0B90" w:tentative="1">
      <w:start w:val="1"/>
      <w:numFmt w:val="bullet"/>
      <w:lvlText w:val=""/>
      <w:lvlJc w:val="left"/>
      <w:pPr>
        <w:tabs>
          <w:tab w:val="num" w:pos="4320"/>
        </w:tabs>
        <w:ind w:left="4320" w:hanging="360"/>
      </w:pPr>
      <w:rPr>
        <w:rFonts w:ascii="Wingdings" w:hAnsi="Wingdings" w:hint="default"/>
      </w:rPr>
    </w:lvl>
    <w:lvl w:ilvl="6" w:tplc="FE12AC8E" w:tentative="1">
      <w:start w:val="1"/>
      <w:numFmt w:val="bullet"/>
      <w:lvlText w:val=""/>
      <w:lvlJc w:val="left"/>
      <w:pPr>
        <w:tabs>
          <w:tab w:val="num" w:pos="5040"/>
        </w:tabs>
        <w:ind w:left="5040" w:hanging="360"/>
      </w:pPr>
      <w:rPr>
        <w:rFonts w:ascii="Symbol" w:hAnsi="Symbol" w:hint="default"/>
      </w:rPr>
    </w:lvl>
    <w:lvl w:ilvl="7" w:tplc="5582B364" w:tentative="1">
      <w:start w:val="1"/>
      <w:numFmt w:val="bullet"/>
      <w:lvlText w:val="o"/>
      <w:lvlJc w:val="left"/>
      <w:pPr>
        <w:tabs>
          <w:tab w:val="num" w:pos="5760"/>
        </w:tabs>
        <w:ind w:left="5760" w:hanging="360"/>
      </w:pPr>
      <w:rPr>
        <w:rFonts w:ascii="Courier New" w:hAnsi="Courier New" w:hint="default"/>
      </w:rPr>
    </w:lvl>
    <w:lvl w:ilvl="8" w:tplc="AC32A2DE" w:tentative="1">
      <w:start w:val="1"/>
      <w:numFmt w:val="bullet"/>
      <w:lvlText w:val=""/>
      <w:lvlJc w:val="left"/>
      <w:pPr>
        <w:tabs>
          <w:tab w:val="num" w:pos="6480"/>
        </w:tabs>
        <w:ind w:left="6480" w:hanging="360"/>
      </w:pPr>
      <w:rPr>
        <w:rFonts w:ascii="Wingdings" w:hAnsi="Wingdings" w:hint="default"/>
      </w:rPr>
    </w:lvl>
  </w:abstractNum>
  <w:abstractNum w:abstractNumId="23">
    <w:nsid w:val="60DC23A4"/>
    <w:multiLevelType w:val="hybridMultilevel"/>
    <w:tmpl w:val="EB166EB8"/>
    <w:lvl w:ilvl="0" w:tplc="AE0233EC">
      <w:start w:val="1"/>
      <w:numFmt w:val="bullet"/>
      <w:lvlText w:val="-"/>
      <w:lvlJc w:val="left"/>
      <w:pPr>
        <w:tabs>
          <w:tab w:val="num" w:pos="360"/>
        </w:tabs>
        <w:ind w:left="360" w:hanging="360"/>
      </w:pPr>
      <w:rPr>
        <w:rFonts w:ascii="Times New Roman" w:eastAsia="Times New Roman" w:hAnsi="Times New Roman" w:hint="default"/>
      </w:rPr>
    </w:lvl>
    <w:lvl w:ilvl="1" w:tplc="6F023A7C">
      <w:start w:val="1"/>
      <w:numFmt w:val="decimal"/>
      <w:lvlText w:val="%2."/>
      <w:lvlJc w:val="left"/>
      <w:pPr>
        <w:tabs>
          <w:tab w:val="num" w:pos="1440"/>
        </w:tabs>
        <w:ind w:left="1440" w:hanging="360"/>
      </w:pPr>
      <w:rPr>
        <w:rFonts w:cs="Times New Roman"/>
      </w:rPr>
    </w:lvl>
    <w:lvl w:ilvl="2" w:tplc="27F2BE72">
      <w:start w:val="1"/>
      <w:numFmt w:val="decimal"/>
      <w:lvlText w:val="%3."/>
      <w:lvlJc w:val="left"/>
      <w:pPr>
        <w:tabs>
          <w:tab w:val="num" w:pos="2160"/>
        </w:tabs>
        <w:ind w:left="2160" w:hanging="360"/>
      </w:pPr>
      <w:rPr>
        <w:rFonts w:cs="Times New Roman"/>
      </w:rPr>
    </w:lvl>
    <w:lvl w:ilvl="3" w:tplc="CD248E50">
      <w:start w:val="1"/>
      <w:numFmt w:val="decimal"/>
      <w:lvlText w:val="%4."/>
      <w:lvlJc w:val="left"/>
      <w:pPr>
        <w:tabs>
          <w:tab w:val="num" w:pos="2880"/>
        </w:tabs>
        <w:ind w:left="2880" w:hanging="360"/>
      </w:pPr>
      <w:rPr>
        <w:rFonts w:cs="Times New Roman"/>
      </w:rPr>
    </w:lvl>
    <w:lvl w:ilvl="4" w:tplc="000E76F2">
      <w:start w:val="1"/>
      <w:numFmt w:val="decimal"/>
      <w:lvlText w:val="%5."/>
      <w:lvlJc w:val="left"/>
      <w:pPr>
        <w:tabs>
          <w:tab w:val="num" w:pos="3600"/>
        </w:tabs>
        <w:ind w:left="3600" w:hanging="360"/>
      </w:pPr>
      <w:rPr>
        <w:rFonts w:cs="Times New Roman"/>
      </w:rPr>
    </w:lvl>
    <w:lvl w:ilvl="5" w:tplc="87FC69CC">
      <w:start w:val="1"/>
      <w:numFmt w:val="decimal"/>
      <w:lvlText w:val="%6."/>
      <w:lvlJc w:val="left"/>
      <w:pPr>
        <w:tabs>
          <w:tab w:val="num" w:pos="4320"/>
        </w:tabs>
        <w:ind w:left="4320" w:hanging="360"/>
      </w:pPr>
      <w:rPr>
        <w:rFonts w:cs="Times New Roman"/>
      </w:rPr>
    </w:lvl>
    <w:lvl w:ilvl="6" w:tplc="4F5E17AE">
      <w:start w:val="1"/>
      <w:numFmt w:val="decimal"/>
      <w:lvlText w:val="%7."/>
      <w:lvlJc w:val="left"/>
      <w:pPr>
        <w:tabs>
          <w:tab w:val="num" w:pos="5040"/>
        </w:tabs>
        <w:ind w:left="5040" w:hanging="360"/>
      </w:pPr>
      <w:rPr>
        <w:rFonts w:cs="Times New Roman"/>
      </w:rPr>
    </w:lvl>
    <w:lvl w:ilvl="7" w:tplc="B07050CE">
      <w:start w:val="1"/>
      <w:numFmt w:val="decimal"/>
      <w:lvlText w:val="%8."/>
      <w:lvlJc w:val="left"/>
      <w:pPr>
        <w:tabs>
          <w:tab w:val="num" w:pos="5760"/>
        </w:tabs>
        <w:ind w:left="5760" w:hanging="360"/>
      </w:pPr>
      <w:rPr>
        <w:rFonts w:cs="Times New Roman"/>
      </w:rPr>
    </w:lvl>
    <w:lvl w:ilvl="8" w:tplc="6AFEF474">
      <w:start w:val="1"/>
      <w:numFmt w:val="decimal"/>
      <w:lvlText w:val="%9."/>
      <w:lvlJc w:val="left"/>
      <w:pPr>
        <w:tabs>
          <w:tab w:val="num" w:pos="6480"/>
        </w:tabs>
        <w:ind w:left="6480" w:hanging="360"/>
      </w:pPr>
      <w:rPr>
        <w:rFonts w:cs="Times New Roman"/>
      </w:rPr>
    </w:lvl>
  </w:abstractNum>
  <w:abstractNum w:abstractNumId="24">
    <w:nsid w:val="640B487F"/>
    <w:multiLevelType w:val="hybridMultilevel"/>
    <w:tmpl w:val="EB9E8CC2"/>
    <w:lvl w:ilvl="0" w:tplc="FFFFFFFF">
      <w:start w:val="1"/>
      <w:numFmt w:val="bullet"/>
      <w:lvlText w:val="-"/>
      <w:lvlJc w:val="left"/>
      <w:pPr>
        <w:tabs>
          <w:tab w:val="num" w:pos="1068"/>
        </w:tabs>
        <w:ind w:left="1068" w:hanging="360"/>
      </w:pPr>
      <w:rPr>
        <w:rFonts w:ascii="Times New Roman" w:eastAsia="Times New Roman" w:hAnsi="Times New Roman" w:hint="default"/>
      </w:rPr>
    </w:lvl>
    <w:lvl w:ilvl="1" w:tplc="748CA99A">
      <w:start w:val="1"/>
      <w:numFmt w:val="decimal"/>
      <w:lvlText w:val="%2."/>
      <w:lvlJc w:val="left"/>
      <w:pPr>
        <w:tabs>
          <w:tab w:val="num" w:pos="1070"/>
        </w:tabs>
        <w:ind w:left="1070" w:hanging="360"/>
      </w:pPr>
      <w:rPr>
        <w:rFonts w:cs="Times New Roman"/>
        <w:color w:val="7030A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nsid w:val="663430B4"/>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6">
    <w:nsid w:val="673D6BB1"/>
    <w:multiLevelType w:val="hybridMultilevel"/>
    <w:tmpl w:val="451A6CF6"/>
    <w:lvl w:ilvl="0" w:tplc="9CA27D3C">
      <w:start w:val="1"/>
      <w:numFmt w:val="lowerLetter"/>
      <w:lvlText w:val="%1)"/>
      <w:lvlJc w:val="left"/>
      <w:pPr>
        <w:tabs>
          <w:tab w:val="num" w:pos="720"/>
        </w:tabs>
        <w:ind w:left="720" w:hanging="360"/>
      </w:pPr>
      <w:rPr>
        <w:rFonts w:cs="Times New Roman"/>
      </w:rPr>
    </w:lvl>
    <w:lvl w:ilvl="1" w:tplc="EA9851FC">
      <w:start w:val="1"/>
      <w:numFmt w:val="bullet"/>
      <w:lvlText w:val="-"/>
      <w:lvlJc w:val="left"/>
      <w:pPr>
        <w:tabs>
          <w:tab w:val="num" w:pos="1080"/>
        </w:tabs>
        <w:ind w:left="1080" w:hanging="360"/>
      </w:pPr>
      <w:rPr>
        <w:rFonts w:ascii="Times New Roman" w:eastAsia="Times New Roman" w:hAnsi="Times New Roman" w:hint="default"/>
      </w:rPr>
    </w:lvl>
    <w:lvl w:ilvl="2" w:tplc="950C61D2">
      <w:start w:val="1"/>
      <w:numFmt w:val="decimal"/>
      <w:lvlText w:val="%3."/>
      <w:lvlJc w:val="left"/>
      <w:pPr>
        <w:tabs>
          <w:tab w:val="num" w:pos="2160"/>
        </w:tabs>
        <w:ind w:left="2160" w:hanging="360"/>
      </w:pPr>
      <w:rPr>
        <w:rFonts w:cs="Times New Roman"/>
      </w:rPr>
    </w:lvl>
    <w:lvl w:ilvl="3" w:tplc="39EEE822">
      <w:start w:val="1"/>
      <w:numFmt w:val="decimal"/>
      <w:lvlText w:val="%4."/>
      <w:lvlJc w:val="left"/>
      <w:pPr>
        <w:tabs>
          <w:tab w:val="num" w:pos="2880"/>
        </w:tabs>
        <w:ind w:left="2880" w:hanging="360"/>
      </w:pPr>
      <w:rPr>
        <w:rFonts w:cs="Times New Roman"/>
      </w:rPr>
    </w:lvl>
    <w:lvl w:ilvl="4" w:tplc="0F3CDE9C">
      <w:start w:val="1"/>
      <w:numFmt w:val="decimal"/>
      <w:lvlText w:val="%5."/>
      <w:lvlJc w:val="left"/>
      <w:pPr>
        <w:tabs>
          <w:tab w:val="num" w:pos="3600"/>
        </w:tabs>
        <w:ind w:left="3600" w:hanging="360"/>
      </w:pPr>
      <w:rPr>
        <w:rFonts w:cs="Times New Roman"/>
      </w:rPr>
    </w:lvl>
    <w:lvl w:ilvl="5" w:tplc="ADB6C842">
      <w:start w:val="1"/>
      <w:numFmt w:val="decimal"/>
      <w:lvlText w:val="%6."/>
      <w:lvlJc w:val="left"/>
      <w:pPr>
        <w:tabs>
          <w:tab w:val="num" w:pos="4320"/>
        </w:tabs>
        <w:ind w:left="4320" w:hanging="360"/>
      </w:pPr>
      <w:rPr>
        <w:rFonts w:cs="Times New Roman"/>
      </w:rPr>
    </w:lvl>
    <w:lvl w:ilvl="6" w:tplc="1B3E68A2">
      <w:start w:val="1"/>
      <w:numFmt w:val="decimal"/>
      <w:lvlText w:val="%7."/>
      <w:lvlJc w:val="left"/>
      <w:pPr>
        <w:tabs>
          <w:tab w:val="num" w:pos="5040"/>
        </w:tabs>
        <w:ind w:left="5040" w:hanging="360"/>
      </w:pPr>
      <w:rPr>
        <w:rFonts w:cs="Times New Roman"/>
      </w:rPr>
    </w:lvl>
    <w:lvl w:ilvl="7" w:tplc="89480B6E">
      <w:start w:val="1"/>
      <w:numFmt w:val="decimal"/>
      <w:lvlText w:val="%8."/>
      <w:lvlJc w:val="left"/>
      <w:pPr>
        <w:tabs>
          <w:tab w:val="num" w:pos="5760"/>
        </w:tabs>
        <w:ind w:left="5760" w:hanging="360"/>
      </w:pPr>
      <w:rPr>
        <w:rFonts w:cs="Times New Roman"/>
      </w:rPr>
    </w:lvl>
    <w:lvl w:ilvl="8" w:tplc="F29620C2">
      <w:start w:val="1"/>
      <w:numFmt w:val="decimal"/>
      <w:lvlText w:val="%9."/>
      <w:lvlJc w:val="left"/>
      <w:pPr>
        <w:tabs>
          <w:tab w:val="num" w:pos="6480"/>
        </w:tabs>
        <w:ind w:left="6480" w:hanging="360"/>
      </w:pPr>
      <w:rPr>
        <w:rFonts w:cs="Times New Roman"/>
      </w:rPr>
    </w:lvl>
  </w:abstractNum>
  <w:abstractNum w:abstractNumId="27">
    <w:nsid w:val="6B5F5D59"/>
    <w:multiLevelType w:val="hybridMultilevel"/>
    <w:tmpl w:val="C0F8929A"/>
    <w:lvl w:ilvl="0" w:tplc="25B8845E">
      <w:start w:val="1"/>
      <w:numFmt w:val="bullet"/>
      <w:lvlText w:val=""/>
      <w:lvlJc w:val="left"/>
      <w:pPr>
        <w:tabs>
          <w:tab w:val="num" w:pos="720"/>
        </w:tabs>
        <w:ind w:left="720" w:hanging="360"/>
      </w:pPr>
      <w:rPr>
        <w:rFonts w:ascii="Wingdings" w:hAnsi="Wingdings" w:hint="default"/>
      </w:rPr>
    </w:lvl>
    <w:lvl w:ilvl="1" w:tplc="90BE665C">
      <w:start w:val="1"/>
      <w:numFmt w:val="decimal"/>
      <w:lvlText w:val="%2."/>
      <w:lvlJc w:val="left"/>
      <w:pPr>
        <w:tabs>
          <w:tab w:val="num" w:pos="1440"/>
        </w:tabs>
        <w:ind w:left="1440" w:hanging="360"/>
      </w:pPr>
      <w:rPr>
        <w:rFonts w:cs="Times New Roman"/>
      </w:rPr>
    </w:lvl>
    <w:lvl w:ilvl="2" w:tplc="4F8E7996">
      <w:start w:val="1"/>
      <w:numFmt w:val="decimal"/>
      <w:lvlText w:val="%3."/>
      <w:lvlJc w:val="left"/>
      <w:pPr>
        <w:tabs>
          <w:tab w:val="num" w:pos="2160"/>
        </w:tabs>
        <w:ind w:left="2160" w:hanging="360"/>
      </w:pPr>
      <w:rPr>
        <w:rFonts w:cs="Times New Roman"/>
      </w:rPr>
    </w:lvl>
    <w:lvl w:ilvl="3" w:tplc="FAC86530">
      <w:start w:val="1"/>
      <w:numFmt w:val="decimal"/>
      <w:lvlText w:val="%4."/>
      <w:lvlJc w:val="left"/>
      <w:pPr>
        <w:tabs>
          <w:tab w:val="num" w:pos="2880"/>
        </w:tabs>
        <w:ind w:left="2880" w:hanging="360"/>
      </w:pPr>
      <w:rPr>
        <w:rFonts w:cs="Times New Roman"/>
      </w:rPr>
    </w:lvl>
    <w:lvl w:ilvl="4" w:tplc="6CFA1C42">
      <w:start w:val="1"/>
      <w:numFmt w:val="decimal"/>
      <w:lvlText w:val="%5."/>
      <w:lvlJc w:val="left"/>
      <w:pPr>
        <w:tabs>
          <w:tab w:val="num" w:pos="3600"/>
        </w:tabs>
        <w:ind w:left="3600" w:hanging="360"/>
      </w:pPr>
      <w:rPr>
        <w:rFonts w:cs="Times New Roman"/>
      </w:rPr>
    </w:lvl>
    <w:lvl w:ilvl="5" w:tplc="64D0DE6A">
      <w:start w:val="1"/>
      <w:numFmt w:val="decimal"/>
      <w:lvlText w:val="%6."/>
      <w:lvlJc w:val="left"/>
      <w:pPr>
        <w:tabs>
          <w:tab w:val="num" w:pos="4320"/>
        </w:tabs>
        <w:ind w:left="4320" w:hanging="360"/>
      </w:pPr>
      <w:rPr>
        <w:rFonts w:cs="Times New Roman"/>
      </w:rPr>
    </w:lvl>
    <w:lvl w:ilvl="6" w:tplc="022A48E8">
      <w:start w:val="1"/>
      <w:numFmt w:val="decimal"/>
      <w:lvlText w:val="%7."/>
      <w:lvlJc w:val="left"/>
      <w:pPr>
        <w:tabs>
          <w:tab w:val="num" w:pos="5040"/>
        </w:tabs>
        <w:ind w:left="5040" w:hanging="360"/>
      </w:pPr>
      <w:rPr>
        <w:rFonts w:cs="Times New Roman"/>
      </w:rPr>
    </w:lvl>
    <w:lvl w:ilvl="7" w:tplc="52785450">
      <w:start w:val="1"/>
      <w:numFmt w:val="decimal"/>
      <w:lvlText w:val="%8."/>
      <w:lvlJc w:val="left"/>
      <w:pPr>
        <w:tabs>
          <w:tab w:val="num" w:pos="5760"/>
        </w:tabs>
        <w:ind w:left="5760" w:hanging="360"/>
      </w:pPr>
      <w:rPr>
        <w:rFonts w:cs="Times New Roman"/>
      </w:rPr>
    </w:lvl>
    <w:lvl w:ilvl="8" w:tplc="19FA0DB0">
      <w:start w:val="1"/>
      <w:numFmt w:val="decimal"/>
      <w:lvlText w:val="%9."/>
      <w:lvlJc w:val="left"/>
      <w:pPr>
        <w:tabs>
          <w:tab w:val="num" w:pos="6480"/>
        </w:tabs>
        <w:ind w:left="6480" w:hanging="360"/>
      </w:pPr>
      <w:rPr>
        <w:rFonts w:cs="Times New Roman"/>
      </w:rPr>
    </w:lvl>
  </w:abstractNum>
  <w:abstractNum w:abstractNumId="28">
    <w:nsid w:val="71132A5E"/>
    <w:multiLevelType w:val="hybridMultilevel"/>
    <w:tmpl w:val="75B03EC0"/>
    <w:lvl w:ilvl="0" w:tplc="721C19EA">
      <w:numFmt w:val="bullet"/>
      <w:lvlText w:val="-"/>
      <w:lvlJc w:val="left"/>
      <w:pPr>
        <w:tabs>
          <w:tab w:val="num" w:pos="720"/>
        </w:tabs>
        <w:ind w:left="720" w:hanging="360"/>
      </w:pPr>
      <w:rPr>
        <w:rFonts w:ascii="Arial" w:eastAsia="Times New Roman" w:hAnsi="Arial" w:hint="default"/>
      </w:rPr>
    </w:lvl>
    <w:lvl w:ilvl="1" w:tplc="6B202A6C" w:tentative="1">
      <w:start w:val="1"/>
      <w:numFmt w:val="bullet"/>
      <w:lvlText w:val="o"/>
      <w:lvlJc w:val="left"/>
      <w:pPr>
        <w:tabs>
          <w:tab w:val="num" w:pos="1440"/>
        </w:tabs>
        <w:ind w:left="1440" w:hanging="360"/>
      </w:pPr>
      <w:rPr>
        <w:rFonts w:ascii="Courier New" w:hAnsi="Courier New" w:hint="default"/>
      </w:rPr>
    </w:lvl>
    <w:lvl w:ilvl="2" w:tplc="CB28662E" w:tentative="1">
      <w:start w:val="1"/>
      <w:numFmt w:val="bullet"/>
      <w:lvlText w:val=""/>
      <w:lvlJc w:val="left"/>
      <w:pPr>
        <w:tabs>
          <w:tab w:val="num" w:pos="2160"/>
        </w:tabs>
        <w:ind w:left="2160" w:hanging="360"/>
      </w:pPr>
      <w:rPr>
        <w:rFonts w:ascii="Wingdings" w:hAnsi="Wingdings" w:hint="default"/>
      </w:rPr>
    </w:lvl>
    <w:lvl w:ilvl="3" w:tplc="736A372A" w:tentative="1">
      <w:start w:val="1"/>
      <w:numFmt w:val="bullet"/>
      <w:lvlText w:val=""/>
      <w:lvlJc w:val="left"/>
      <w:pPr>
        <w:tabs>
          <w:tab w:val="num" w:pos="2880"/>
        </w:tabs>
        <w:ind w:left="2880" w:hanging="360"/>
      </w:pPr>
      <w:rPr>
        <w:rFonts w:ascii="Symbol" w:hAnsi="Symbol" w:hint="default"/>
      </w:rPr>
    </w:lvl>
    <w:lvl w:ilvl="4" w:tplc="A1DE4780" w:tentative="1">
      <w:start w:val="1"/>
      <w:numFmt w:val="bullet"/>
      <w:lvlText w:val="o"/>
      <w:lvlJc w:val="left"/>
      <w:pPr>
        <w:tabs>
          <w:tab w:val="num" w:pos="3600"/>
        </w:tabs>
        <w:ind w:left="3600" w:hanging="360"/>
      </w:pPr>
      <w:rPr>
        <w:rFonts w:ascii="Courier New" w:hAnsi="Courier New" w:hint="default"/>
      </w:rPr>
    </w:lvl>
    <w:lvl w:ilvl="5" w:tplc="51605DA6" w:tentative="1">
      <w:start w:val="1"/>
      <w:numFmt w:val="bullet"/>
      <w:lvlText w:val=""/>
      <w:lvlJc w:val="left"/>
      <w:pPr>
        <w:tabs>
          <w:tab w:val="num" w:pos="4320"/>
        </w:tabs>
        <w:ind w:left="4320" w:hanging="360"/>
      </w:pPr>
      <w:rPr>
        <w:rFonts w:ascii="Wingdings" w:hAnsi="Wingdings" w:hint="default"/>
      </w:rPr>
    </w:lvl>
    <w:lvl w:ilvl="6" w:tplc="2F06652A" w:tentative="1">
      <w:start w:val="1"/>
      <w:numFmt w:val="bullet"/>
      <w:lvlText w:val=""/>
      <w:lvlJc w:val="left"/>
      <w:pPr>
        <w:tabs>
          <w:tab w:val="num" w:pos="5040"/>
        </w:tabs>
        <w:ind w:left="5040" w:hanging="360"/>
      </w:pPr>
      <w:rPr>
        <w:rFonts w:ascii="Symbol" w:hAnsi="Symbol" w:hint="default"/>
      </w:rPr>
    </w:lvl>
    <w:lvl w:ilvl="7" w:tplc="519E748E" w:tentative="1">
      <w:start w:val="1"/>
      <w:numFmt w:val="bullet"/>
      <w:lvlText w:val="o"/>
      <w:lvlJc w:val="left"/>
      <w:pPr>
        <w:tabs>
          <w:tab w:val="num" w:pos="5760"/>
        </w:tabs>
        <w:ind w:left="5760" w:hanging="360"/>
      </w:pPr>
      <w:rPr>
        <w:rFonts w:ascii="Courier New" w:hAnsi="Courier New" w:hint="default"/>
      </w:rPr>
    </w:lvl>
    <w:lvl w:ilvl="8" w:tplc="C5B4007E" w:tentative="1">
      <w:start w:val="1"/>
      <w:numFmt w:val="bullet"/>
      <w:lvlText w:val=""/>
      <w:lvlJc w:val="left"/>
      <w:pPr>
        <w:tabs>
          <w:tab w:val="num" w:pos="6480"/>
        </w:tabs>
        <w:ind w:left="6480" w:hanging="360"/>
      </w:pPr>
      <w:rPr>
        <w:rFonts w:ascii="Wingdings" w:hAnsi="Wingdings" w:hint="default"/>
      </w:rPr>
    </w:lvl>
  </w:abstractNum>
  <w:abstractNum w:abstractNumId="29">
    <w:nsid w:val="7153509B"/>
    <w:multiLevelType w:val="hybridMultilevel"/>
    <w:tmpl w:val="3D683638"/>
    <w:lvl w:ilvl="0" w:tplc="3B244118">
      <w:start w:val="1"/>
      <w:numFmt w:val="bullet"/>
      <w:lvlText w:val="-"/>
      <w:lvlJc w:val="left"/>
      <w:pPr>
        <w:tabs>
          <w:tab w:val="num" w:pos="360"/>
        </w:tabs>
        <w:ind w:left="360" w:hanging="360"/>
      </w:pPr>
      <w:rPr>
        <w:rFonts w:ascii="Times New Roman" w:eastAsia="Times New Roman" w:hAnsi="Times New Roman" w:hint="default"/>
      </w:rPr>
    </w:lvl>
    <w:lvl w:ilvl="1" w:tplc="C0F07240">
      <w:start w:val="1"/>
      <w:numFmt w:val="decimal"/>
      <w:lvlText w:val="%2."/>
      <w:lvlJc w:val="left"/>
      <w:pPr>
        <w:tabs>
          <w:tab w:val="num" w:pos="1440"/>
        </w:tabs>
        <w:ind w:left="1440" w:hanging="360"/>
      </w:pPr>
      <w:rPr>
        <w:rFonts w:cs="Times New Roman"/>
      </w:rPr>
    </w:lvl>
    <w:lvl w:ilvl="2" w:tplc="5FD85028">
      <w:start w:val="1"/>
      <w:numFmt w:val="decimal"/>
      <w:lvlText w:val="%3."/>
      <w:lvlJc w:val="left"/>
      <w:pPr>
        <w:tabs>
          <w:tab w:val="num" w:pos="2160"/>
        </w:tabs>
        <w:ind w:left="2160" w:hanging="360"/>
      </w:pPr>
      <w:rPr>
        <w:rFonts w:cs="Times New Roman"/>
      </w:rPr>
    </w:lvl>
    <w:lvl w:ilvl="3" w:tplc="883AABDA">
      <w:start w:val="1"/>
      <w:numFmt w:val="decimal"/>
      <w:lvlText w:val="%4."/>
      <w:lvlJc w:val="left"/>
      <w:pPr>
        <w:tabs>
          <w:tab w:val="num" w:pos="2880"/>
        </w:tabs>
        <w:ind w:left="2880" w:hanging="360"/>
      </w:pPr>
      <w:rPr>
        <w:rFonts w:cs="Times New Roman"/>
      </w:rPr>
    </w:lvl>
    <w:lvl w:ilvl="4" w:tplc="6734BDBA">
      <w:start w:val="1"/>
      <w:numFmt w:val="decimal"/>
      <w:lvlText w:val="%5."/>
      <w:lvlJc w:val="left"/>
      <w:pPr>
        <w:tabs>
          <w:tab w:val="num" w:pos="3600"/>
        </w:tabs>
        <w:ind w:left="3600" w:hanging="360"/>
      </w:pPr>
      <w:rPr>
        <w:rFonts w:cs="Times New Roman"/>
      </w:rPr>
    </w:lvl>
    <w:lvl w:ilvl="5" w:tplc="FF04FCD0">
      <w:start w:val="1"/>
      <w:numFmt w:val="decimal"/>
      <w:lvlText w:val="%6."/>
      <w:lvlJc w:val="left"/>
      <w:pPr>
        <w:tabs>
          <w:tab w:val="num" w:pos="4320"/>
        </w:tabs>
        <w:ind w:left="4320" w:hanging="360"/>
      </w:pPr>
      <w:rPr>
        <w:rFonts w:cs="Times New Roman"/>
      </w:rPr>
    </w:lvl>
    <w:lvl w:ilvl="6" w:tplc="7A104F02">
      <w:start w:val="1"/>
      <w:numFmt w:val="decimal"/>
      <w:lvlText w:val="%7."/>
      <w:lvlJc w:val="left"/>
      <w:pPr>
        <w:tabs>
          <w:tab w:val="num" w:pos="5040"/>
        </w:tabs>
        <w:ind w:left="5040" w:hanging="360"/>
      </w:pPr>
      <w:rPr>
        <w:rFonts w:cs="Times New Roman"/>
      </w:rPr>
    </w:lvl>
    <w:lvl w:ilvl="7" w:tplc="748237C0">
      <w:start w:val="1"/>
      <w:numFmt w:val="decimal"/>
      <w:lvlText w:val="%8."/>
      <w:lvlJc w:val="left"/>
      <w:pPr>
        <w:tabs>
          <w:tab w:val="num" w:pos="5760"/>
        </w:tabs>
        <w:ind w:left="5760" w:hanging="360"/>
      </w:pPr>
      <w:rPr>
        <w:rFonts w:cs="Times New Roman"/>
      </w:rPr>
    </w:lvl>
    <w:lvl w:ilvl="8" w:tplc="4C420AAA">
      <w:start w:val="1"/>
      <w:numFmt w:val="decimal"/>
      <w:lvlText w:val="%9."/>
      <w:lvlJc w:val="left"/>
      <w:pPr>
        <w:tabs>
          <w:tab w:val="num" w:pos="6480"/>
        </w:tabs>
        <w:ind w:left="6480" w:hanging="360"/>
      </w:pPr>
      <w:rPr>
        <w:rFonts w:cs="Times New Roman"/>
      </w:rPr>
    </w:lvl>
  </w:abstractNum>
  <w:abstractNum w:abstractNumId="30">
    <w:nsid w:val="72AF7C0F"/>
    <w:multiLevelType w:val="hybridMultilevel"/>
    <w:tmpl w:val="43520E5E"/>
    <w:lvl w:ilvl="0" w:tplc="655C02D4">
      <w:start w:val="1"/>
      <w:numFmt w:val="bullet"/>
      <w:lvlText w:val="-"/>
      <w:lvlJc w:val="left"/>
      <w:pPr>
        <w:tabs>
          <w:tab w:val="num" w:pos="360"/>
        </w:tabs>
        <w:ind w:left="360" w:hanging="360"/>
      </w:pPr>
      <w:rPr>
        <w:rFonts w:ascii="Times New Roman" w:eastAsia="Times New Roman" w:hAnsi="Times New Roman" w:hint="default"/>
      </w:rPr>
    </w:lvl>
    <w:lvl w:ilvl="1" w:tplc="DF764BAA">
      <w:start w:val="1"/>
      <w:numFmt w:val="decimal"/>
      <w:lvlText w:val="%2."/>
      <w:lvlJc w:val="left"/>
      <w:pPr>
        <w:tabs>
          <w:tab w:val="num" w:pos="1440"/>
        </w:tabs>
        <w:ind w:left="1440" w:hanging="360"/>
      </w:pPr>
      <w:rPr>
        <w:rFonts w:cs="Times New Roman"/>
      </w:rPr>
    </w:lvl>
    <w:lvl w:ilvl="2" w:tplc="4348AA52">
      <w:start w:val="1"/>
      <w:numFmt w:val="decimal"/>
      <w:lvlText w:val="%3."/>
      <w:lvlJc w:val="left"/>
      <w:pPr>
        <w:tabs>
          <w:tab w:val="num" w:pos="2160"/>
        </w:tabs>
        <w:ind w:left="2160" w:hanging="360"/>
      </w:pPr>
      <w:rPr>
        <w:rFonts w:cs="Times New Roman"/>
      </w:rPr>
    </w:lvl>
    <w:lvl w:ilvl="3" w:tplc="BF9C76A0">
      <w:start w:val="1"/>
      <w:numFmt w:val="decimal"/>
      <w:lvlText w:val="%4."/>
      <w:lvlJc w:val="left"/>
      <w:pPr>
        <w:tabs>
          <w:tab w:val="num" w:pos="2880"/>
        </w:tabs>
        <w:ind w:left="2880" w:hanging="360"/>
      </w:pPr>
      <w:rPr>
        <w:rFonts w:cs="Times New Roman"/>
      </w:rPr>
    </w:lvl>
    <w:lvl w:ilvl="4" w:tplc="4E7C40B0">
      <w:start w:val="1"/>
      <w:numFmt w:val="decimal"/>
      <w:lvlText w:val="%5."/>
      <w:lvlJc w:val="left"/>
      <w:pPr>
        <w:tabs>
          <w:tab w:val="num" w:pos="3600"/>
        </w:tabs>
        <w:ind w:left="3600" w:hanging="360"/>
      </w:pPr>
      <w:rPr>
        <w:rFonts w:cs="Times New Roman"/>
      </w:rPr>
    </w:lvl>
    <w:lvl w:ilvl="5" w:tplc="29CCFABA">
      <w:start w:val="1"/>
      <w:numFmt w:val="decimal"/>
      <w:lvlText w:val="%6."/>
      <w:lvlJc w:val="left"/>
      <w:pPr>
        <w:tabs>
          <w:tab w:val="num" w:pos="4320"/>
        </w:tabs>
        <w:ind w:left="4320" w:hanging="360"/>
      </w:pPr>
      <w:rPr>
        <w:rFonts w:cs="Times New Roman"/>
      </w:rPr>
    </w:lvl>
    <w:lvl w:ilvl="6" w:tplc="6BDEB4EC">
      <w:start w:val="1"/>
      <w:numFmt w:val="decimal"/>
      <w:lvlText w:val="%7."/>
      <w:lvlJc w:val="left"/>
      <w:pPr>
        <w:tabs>
          <w:tab w:val="num" w:pos="5040"/>
        </w:tabs>
        <w:ind w:left="5040" w:hanging="360"/>
      </w:pPr>
      <w:rPr>
        <w:rFonts w:cs="Times New Roman"/>
      </w:rPr>
    </w:lvl>
    <w:lvl w:ilvl="7" w:tplc="4432B742">
      <w:start w:val="1"/>
      <w:numFmt w:val="decimal"/>
      <w:lvlText w:val="%8."/>
      <w:lvlJc w:val="left"/>
      <w:pPr>
        <w:tabs>
          <w:tab w:val="num" w:pos="5760"/>
        </w:tabs>
        <w:ind w:left="5760" w:hanging="360"/>
      </w:pPr>
      <w:rPr>
        <w:rFonts w:cs="Times New Roman"/>
      </w:rPr>
    </w:lvl>
    <w:lvl w:ilvl="8" w:tplc="E820B96A">
      <w:start w:val="1"/>
      <w:numFmt w:val="decimal"/>
      <w:lvlText w:val="%9."/>
      <w:lvlJc w:val="left"/>
      <w:pPr>
        <w:tabs>
          <w:tab w:val="num" w:pos="6480"/>
        </w:tabs>
        <w:ind w:left="6480" w:hanging="360"/>
      </w:pPr>
      <w:rPr>
        <w:rFonts w:cs="Times New Roman"/>
      </w:rPr>
    </w:lvl>
  </w:abstractNum>
  <w:abstractNum w:abstractNumId="31">
    <w:nsid w:val="77112519"/>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2">
    <w:nsid w:val="78D6690B"/>
    <w:multiLevelType w:val="hybridMultilevel"/>
    <w:tmpl w:val="1ADCE06E"/>
    <w:lvl w:ilvl="0" w:tplc="C8BA384C">
      <w:start w:val="4"/>
      <w:numFmt w:val="bullet"/>
      <w:lvlText w:val="-"/>
      <w:lvlJc w:val="left"/>
      <w:pPr>
        <w:ind w:left="90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8"/>
  </w:num>
  <w:num w:numId="23">
    <w:abstractNumId w:val="0"/>
  </w:num>
  <w:num w:numId="24">
    <w:abstractNumId w:val="15"/>
  </w:num>
  <w:num w:numId="25">
    <w:abstractNumId w:val="14"/>
  </w:num>
  <w:num w:numId="26">
    <w:abstractNumId w:val="32"/>
  </w:num>
  <w:num w:numId="27">
    <w:abstractNumId w:val="19"/>
  </w:num>
  <w:num w:numId="28">
    <w:abstractNumId w:val="4"/>
  </w:num>
  <w:num w:numId="29">
    <w:abstractNumId w:val="7"/>
  </w:num>
  <w:num w:numId="30">
    <w:abstractNumId w:val="18"/>
  </w:num>
  <w:num w:numId="31">
    <w:abstractNumId w:val="17"/>
  </w:num>
  <w:num w:numId="32">
    <w:abstractNumId w:val="3"/>
  </w:num>
  <w:num w:numId="33">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08"/>
  <w:hyphenationZone w:val="283"/>
  <w:characterSpacingControl w:val="doNotCompress"/>
  <w:footnotePr>
    <w:footnote w:id="-1"/>
    <w:footnote w:id="0"/>
  </w:footnotePr>
  <w:endnotePr>
    <w:endnote w:id="-1"/>
    <w:endnote w:id="0"/>
  </w:endnotePr>
  <w:compat/>
  <w:rsids>
    <w:rsidRoot w:val="00457C6B"/>
    <w:rsid w:val="00014878"/>
    <w:rsid w:val="00042557"/>
    <w:rsid w:val="000E4D5F"/>
    <w:rsid w:val="0012755C"/>
    <w:rsid w:val="00282F4C"/>
    <w:rsid w:val="0028428B"/>
    <w:rsid w:val="003726BD"/>
    <w:rsid w:val="003A5CD3"/>
    <w:rsid w:val="004063B0"/>
    <w:rsid w:val="00457C6B"/>
    <w:rsid w:val="0047703E"/>
    <w:rsid w:val="0052759F"/>
    <w:rsid w:val="00545B74"/>
    <w:rsid w:val="00596E9F"/>
    <w:rsid w:val="005E2A04"/>
    <w:rsid w:val="00692256"/>
    <w:rsid w:val="006D344B"/>
    <w:rsid w:val="007B3C1F"/>
    <w:rsid w:val="00824CF3"/>
    <w:rsid w:val="00834701"/>
    <w:rsid w:val="008E20F2"/>
    <w:rsid w:val="00945619"/>
    <w:rsid w:val="009D62E7"/>
    <w:rsid w:val="00AB315A"/>
    <w:rsid w:val="00AB4CC5"/>
    <w:rsid w:val="00AC22B5"/>
    <w:rsid w:val="00B31F1F"/>
    <w:rsid w:val="00B771D5"/>
    <w:rsid w:val="00C66424"/>
    <w:rsid w:val="00CF5982"/>
    <w:rsid w:val="00DA37FF"/>
    <w:rsid w:val="00E125CC"/>
    <w:rsid w:val="00E73CEB"/>
    <w:rsid w:val="00EF0771"/>
    <w:rsid w:val="00F22B8C"/>
    <w:rsid w:val="00FB57D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824CF3"/>
    <w:rPr>
      <w:sz w:val="24"/>
      <w:szCs w:val="24"/>
    </w:rPr>
  </w:style>
  <w:style w:type="paragraph" w:styleId="Titolo1">
    <w:name w:val="heading 1"/>
    <w:basedOn w:val="Normale"/>
    <w:next w:val="Normale"/>
    <w:link w:val="Titolo1Carattere"/>
    <w:uiPriority w:val="99"/>
    <w:qFormat/>
    <w:rsid w:val="00824CF3"/>
    <w:pPr>
      <w:widowControl w:val="0"/>
      <w:pBdr>
        <w:top w:val="single" w:sz="6" w:space="1" w:color="auto" w:shadow="1"/>
        <w:left w:val="single" w:sz="6" w:space="4" w:color="auto" w:shadow="1"/>
        <w:bottom w:val="single" w:sz="6" w:space="1" w:color="auto" w:shadow="1"/>
        <w:right w:val="single" w:sz="6" w:space="4" w:color="auto" w:shadow="1"/>
      </w:pBdr>
      <w:shd w:val="clear" w:color="auto" w:fill="FFFFFF"/>
      <w:overflowPunct w:val="0"/>
      <w:autoSpaceDE w:val="0"/>
      <w:autoSpaceDN w:val="0"/>
      <w:adjustRightInd w:val="0"/>
      <w:spacing w:after="360"/>
      <w:jc w:val="center"/>
      <w:outlineLvl w:val="0"/>
    </w:pPr>
    <w:rPr>
      <w:rFonts w:ascii="Arial" w:hAnsi="Arial" w:cs="Arial"/>
      <w:b/>
      <w:i/>
      <w:szCs w:val="20"/>
    </w:rPr>
  </w:style>
  <w:style w:type="paragraph" w:styleId="Titolo2">
    <w:name w:val="heading 2"/>
    <w:basedOn w:val="Corpodeltesto2"/>
    <w:next w:val="Normale"/>
    <w:link w:val="Titolo2Carattere"/>
    <w:uiPriority w:val="99"/>
    <w:qFormat/>
    <w:rsid w:val="00824CF3"/>
    <w:pPr>
      <w:jc w:val="both"/>
      <w:outlineLvl w:val="1"/>
    </w:pPr>
    <w:rPr>
      <w:b/>
      <w:sz w:val="24"/>
      <w:u w:val="single"/>
    </w:rPr>
  </w:style>
  <w:style w:type="paragraph" w:styleId="Titolo3">
    <w:name w:val="heading 3"/>
    <w:basedOn w:val="Titolo2"/>
    <w:next w:val="Normale"/>
    <w:link w:val="Titolo3Carattere"/>
    <w:uiPriority w:val="99"/>
    <w:qFormat/>
    <w:rsid w:val="00824CF3"/>
    <w:pPr>
      <w:outlineLvl w:val="2"/>
    </w:pPr>
    <w:rPr>
      <w:rFonts w:cs="Times New Roman"/>
      <w:sz w:val="22"/>
    </w:rPr>
  </w:style>
  <w:style w:type="paragraph" w:styleId="Titolo4">
    <w:name w:val="heading 4"/>
    <w:basedOn w:val="Normale"/>
    <w:next w:val="Normale"/>
    <w:link w:val="Titolo4Carattere"/>
    <w:uiPriority w:val="99"/>
    <w:qFormat/>
    <w:rsid w:val="00824CF3"/>
    <w:pPr>
      <w:keepNext/>
      <w:spacing w:after="240"/>
      <w:jc w:val="center"/>
      <w:outlineLvl w:val="3"/>
    </w:pPr>
    <w:rPr>
      <w:rFonts w:ascii="Arial" w:hAnsi="Arial" w:cs="Arial"/>
      <w:b/>
      <w:i/>
      <w:sz w:val="36"/>
    </w:rPr>
  </w:style>
  <w:style w:type="paragraph" w:styleId="Titolo6">
    <w:name w:val="heading 6"/>
    <w:basedOn w:val="Normale"/>
    <w:next w:val="Normale"/>
    <w:link w:val="Titolo6Carattere"/>
    <w:uiPriority w:val="99"/>
    <w:qFormat/>
    <w:rsid w:val="00824CF3"/>
    <w:pPr>
      <w:keepNext/>
      <w:numPr>
        <w:ilvl w:val="12"/>
      </w:numPr>
      <w:jc w:val="both"/>
      <w:outlineLvl w:val="5"/>
    </w:pPr>
    <w:rPr>
      <w:rFonts w:ascii="Arial" w:hAnsi="Arial" w:cs="Arial"/>
      <w:b/>
      <w:u w:val="single"/>
    </w:rPr>
  </w:style>
  <w:style w:type="paragraph" w:styleId="Titolo8">
    <w:name w:val="heading 8"/>
    <w:basedOn w:val="Normale"/>
    <w:next w:val="Normale"/>
    <w:link w:val="Titolo8Carattere"/>
    <w:uiPriority w:val="99"/>
    <w:qFormat/>
    <w:rsid w:val="00824CF3"/>
    <w:pPr>
      <w:keepNext/>
      <w:widowControl w:val="0"/>
      <w:overflowPunct w:val="0"/>
      <w:autoSpaceDE w:val="0"/>
      <w:autoSpaceDN w:val="0"/>
      <w:adjustRightInd w:val="0"/>
      <w:spacing w:after="120"/>
      <w:jc w:val="both"/>
      <w:outlineLvl w:val="7"/>
    </w:pPr>
    <w:rPr>
      <w:rFonts w:ascii="Arial" w:hAnsi="Arial"/>
      <w:b/>
      <w:szCs w:val="20"/>
    </w:rPr>
  </w:style>
  <w:style w:type="paragraph" w:styleId="Titolo9">
    <w:name w:val="heading 9"/>
    <w:basedOn w:val="Normale"/>
    <w:next w:val="Normale"/>
    <w:link w:val="Titolo9Carattere"/>
    <w:uiPriority w:val="99"/>
    <w:qFormat/>
    <w:rsid w:val="00824CF3"/>
    <w:pPr>
      <w:keepNext/>
      <w:numPr>
        <w:ilvl w:val="12"/>
      </w:numPr>
      <w:outlineLvl w:val="8"/>
    </w:pPr>
    <w:rPr>
      <w:rFonts w:ascii="Arial" w:hAnsi="Arial" w:cs="Arial"/>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24CF3"/>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824CF3"/>
    <w:rPr>
      <w:rFonts w:ascii="Cambria" w:hAnsi="Cambria" w:cs="Times New Roman"/>
      <w:b/>
      <w:bCs/>
      <w:i/>
      <w:iCs/>
      <w:sz w:val="28"/>
      <w:szCs w:val="28"/>
    </w:rPr>
  </w:style>
  <w:style w:type="character" w:customStyle="1" w:styleId="Titolo3Carattere">
    <w:name w:val="Titolo 3 Carattere"/>
    <w:basedOn w:val="Carpredefinitoparagrafo"/>
    <w:link w:val="Titolo3"/>
    <w:uiPriority w:val="99"/>
    <w:locked/>
    <w:rsid w:val="00824CF3"/>
    <w:rPr>
      <w:rFonts w:ascii="Arial" w:hAnsi="Arial" w:cs="Times New Roman"/>
      <w:b/>
      <w:sz w:val="24"/>
      <w:u w:val="single"/>
    </w:rPr>
  </w:style>
  <w:style w:type="character" w:customStyle="1" w:styleId="Titolo4Carattere">
    <w:name w:val="Titolo 4 Carattere"/>
    <w:basedOn w:val="Carpredefinitoparagrafo"/>
    <w:link w:val="Titolo4"/>
    <w:uiPriority w:val="99"/>
    <w:semiHidden/>
    <w:locked/>
    <w:rsid w:val="00824CF3"/>
    <w:rPr>
      <w:rFonts w:ascii="Calibri" w:hAnsi="Calibri" w:cs="Times New Roman"/>
      <w:b/>
      <w:bCs/>
      <w:sz w:val="28"/>
      <w:szCs w:val="28"/>
    </w:rPr>
  </w:style>
  <w:style w:type="character" w:customStyle="1" w:styleId="Titolo6Carattere">
    <w:name w:val="Titolo 6 Carattere"/>
    <w:basedOn w:val="Carpredefinitoparagrafo"/>
    <w:link w:val="Titolo6"/>
    <w:uiPriority w:val="99"/>
    <w:semiHidden/>
    <w:locked/>
    <w:rsid w:val="00824CF3"/>
    <w:rPr>
      <w:rFonts w:ascii="Calibri" w:hAnsi="Calibri" w:cs="Times New Roman"/>
      <w:b/>
      <w:bCs/>
    </w:rPr>
  </w:style>
  <w:style w:type="character" w:customStyle="1" w:styleId="Titolo8Carattere">
    <w:name w:val="Titolo 8 Carattere"/>
    <w:basedOn w:val="Carpredefinitoparagrafo"/>
    <w:link w:val="Titolo8"/>
    <w:uiPriority w:val="99"/>
    <w:semiHidden/>
    <w:locked/>
    <w:rsid w:val="00824CF3"/>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824CF3"/>
    <w:rPr>
      <w:rFonts w:ascii="Cambria" w:hAnsi="Cambria" w:cs="Times New Roman"/>
    </w:rPr>
  </w:style>
  <w:style w:type="paragraph" w:styleId="Testonotaapidipagina">
    <w:name w:val="footnote text"/>
    <w:aliases w:val="Testo nota a piè di pagina Carattere,Testo nota a piè di pagina Carattere1 Carattere,Testo nota a piè di pagina Carattere Carattere Carattere,Testo nota a piè di pagina Carattere1 Carattere Carattere Carattere,Carattere"/>
    <w:basedOn w:val="Normale"/>
    <w:link w:val="TestonotaapidipaginaCarattere1"/>
    <w:uiPriority w:val="99"/>
    <w:semiHidden/>
    <w:rsid w:val="00824CF3"/>
    <w:pPr>
      <w:widowControl w:val="0"/>
      <w:tabs>
        <w:tab w:val="left" w:pos="567"/>
      </w:tabs>
      <w:overflowPunct w:val="0"/>
      <w:autoSpaceDE w:val="0"/>
      <w:autoSpaceDN w:val="0"/>
      <w:adjustRightInd w:val="0"/>
      <w:spacing w:after="120"/>
      <w:ind w:left="567" w:hanging="567"/>
      <w:jc w:val="both"/>
    </w:pPr>
    <w:rPr>
      <w:rFonts w:ascii="Arial" w:hAnsi="Arial"/>
      <w:sz w:val="20"/>
      <w:szCs w:val="20"/>
    </w:rPr>
  </w:style>
  <w:style w:type="character" w:customStyle="1" w:styleId="TestonotaapidipaginaCarattere1">
    <w:name w:val="Testo nota a piè di pagina Carattere1"/>
    <w:aliases w:val="Testo nota a piè di pagina Carattere Carattere,Testo nota a piè di pagina Carattere1 Carattere Carattere,Testo nota a piè di pagina Carattere Carattere Carattere Carattere,Carattere Carattere1"/>
    <w:basedOn w:val="Carpredefinitoparagrafo"/>
    <w:link w:val="Testonotaapidipagina"/>
    <w:uiPriority w:val="99"/>
    <w:locked/>
    <w:rsid w:val="00824CF3"/>
    <w:rPr>
      <w:rFonts w:ascii="Arial" w:hAnsi="Arial" w:cs="Times New Roman"/>
      <w:lang w:val="it-IT" w:eastAsia="it-IT"/>
    </w:rPr>
  </w:style>
  <w:style w:type="paragraph" w:styleId="Intestazione">
    <w:name w:val="header"/>
    <w:basedOn w:val="Normale"/>
    <w:link w:val="IntestazioneCarattere"/>
    <w:uiPriority w:val="99"/>
    <w:rsid w:val="00824CF3"/>
    <w:pPr>
      <w:widowControl w:val="0"/>
      <w:tabs>
        <w:tab w:val="center" w:pos="4819"/>
        <w:tab w:val="right" w:pos="9638"/>
      </w:tabs>
      <w:overflowPunct w:val="0"/>
      <w:autoSpaceDE w:val="0"/>
      <w:autoSpaceDN w:val="0"/>
      <w:adjustRightInd w:val="0"/>
      <w:spacing w:after="120"/>
      <w:jc w:val="both"/>
    </w:pPr>
    <w:rPr>
      <w:rFonts w:ascii="Arial" w:hAnsi="Arial"/>
      <w:szCs w:val="20"/>
    </w:rPr>
  </w:style>
  <w:style w:type="character" w:customStyle="1" w:styleId="IntestazioneCarattere">
    <w:name w:val="Intestazione Carattere"/>
    <w:basedOn w:val="Carpredefinitoparagrafo"/>
    <w:link w:val="Intestazione"/>
    <w:uiPriority w:val="99"/>
    <w:semiHidden/>
    <w:locked/>
    <w:rsid w:val="00824CF3"/>
    <w:rPr>
      <w:rFonts w:cs="Times New Roman"/>
      <w:sz w:val="24"/>
      <w:szCs w:val="24"/>
    </w:rPr>
  </w:style>
  <w:style w:type="paragraph" w:styleId="Pidipagina">
    <w:name w:val="footer"/>
    <w:basedOn w:val="Normale"/>
    <w:link w:val="PidipaginaCarattere"/>
    <w:uiPriority w:val="99"/>
    <w:rsid w:val="00824CF3"/>
    <w:pPr>
      <w:widowControl w:val="0"/>
      <w:pBdr>
        <w:top w:val="single" w:sz="6" w:space="1" w:color="auto"/>
      </w:pBdr>
      <w:overflowPunct w:val="0"/>
      <w:autoSpaceDE w:val="0"/>
      <w:autoSpaceDN w:val="0"/>
      <w:adjustRightInd w:val="0"/>
      <w:spacing w:after="120"/>
      <w:jc w:val="center"/>
    </w:pPr>
    <w:rPr>
      <w:rFonts w:ascii="Arial" w:hAnsi="Arial"/>
      <w:sz w:val="18"/>
      <w:szCs w:val="20"/>
    </w:rPr>
  </w:style>
  <w:style w:type="character" w:customStyle="1" w:styleId="PidipaginaCarattere">
    <w:name w:val="Piè di pagina Carattere"/>
    <w:basedOn w:val="Carpredefinitoparagrafo"/>
    <w:link w:val="Pidipagina"/>
    <w:uiPriority w:val="99"/>
    <w:semiHidden/>
    <w:locked/>
    <w:rsid w:val="00824CF3"/>
    <w:rPr>
      <w:rFonts w:cs="Times New Roman"/>
      <w:sz w:val="24"/>
      <w:szCs w:val="24"/>
    </w:rPr>
  </w:style>
  <w:style w:type="paragraph" w:styleId="Titolo">
    <w:name w:val="Title"/>
    <w:basedOn w:val="Normale"/>
    <w:link w:val="TitoloCarattere"/>
    <w:uiPriority w:val="99"/>
    <w:qFormat/>
    <w:rsid w:val="00824CF3"/>
    <w:pPr>
      <w:spacing w:after="360"/>
      <w:jc w:val="center"/>
    </w:pPr>
    <w:rPr>
      <w:rFonts w:ascii="Arial" w:hAnsi="Arial" w:cs="Arial"/>
      <w:b/>
      <w:i/>
      <w:sz w:val="36"/>
    </w:rPr>
  </w:style>
  <w:style w:type="character" w:customStyle="1" w:styleId="TitoloCarattere">
    <w:name w:val="Titolo Carattere"/>
    <w:basedOn w:val="Carpredefinitoparagrafo"/>
    <w:link w:val="Titolo"/>
    <w:uiPriority w:val="99"/>
    <w:locked/>
    <w:rsid w:val="00824CF3"/>
    <w:rPr>
      <w:rFonts w:ascii="Cambria" w:hAnsi="Cambria" w:cs="Times New Roman"/>
      <w:b/>
      <w:bCs/>
      <w:kern w:val="28"/>
      <w:sz w:val="32"/>
      <w:szCs w:val="32"/>
    </w:rPr>
  </w:style>
  <w:style w:type="paragraph" w:styleId="Corpodeltesto">
    <w:name w:val="Body Text"/>
    <w:basedOn w:val="Normale"/>
    <w:link w:val="CorpodeltestoCarattere"/>
    <w:uiPriority w:val="99"/>
    <w:rsid w:val="00824CF3"/>
    <w:pPr>
      <w:widowControl w:val="0"/>
      <w:overflowPunct w:val="0"/>
      <w:autoSpaceDE w:val="0"/>
      <w:autoSpaceDN w:val="0"/>
      <w:adjustRightInd w:val="0"/>
      <w:spacing w:after="120"/>
      <w:jc w:val="both"/>
    </w:pPr>
    <w:rPr>
      <w:rFonts w:ascii="Arial" w:hAnsi="Arial"/>
      <w:kern w:val="28"/>
      <w:szCs w:val="20"/>
    </w:rPr>
  </w:style>
  <w:style w:type="character" w:customStyle="1" w:styleId="CorpodeltestoCarattere">
    <w:name w:val="Corpo del testo Carattere"/>
    <w:basedOn w:val="Carpredefinitoparagrafo"/>
    <w:link w:val="Corpodeltesto"/>
    <w:uiPriority w:val="99"/>
    <w:semiHidden/>
    <w:locked/>
    <w:rsid w:val="00824CF3"/>
    <w:rPr>
      <w:rFonts w:cs="Times New Roman"/>
      <w:sz w:val="24"/>
      <w:szCs w:val="24"/>
    </w:rPr>
  </w:style>
  <w:style w:type="paragraph" w:styleId="Rientrocorpodeltesto">
    <w:name w:val="Body Text Indent"/>
    <w:basedOn w:val="Normale"/>
    <w:link w:val="RientrocorpodeltestoCarattere"/>
    <w:uiPriority w:val="99"/>
    <w:rsid w:val="00824CF3"/>
    <w:pPr>
      <w:snapToGrid w:val="0"/>
      <w:spacing w:before="110" w:line="360" w:lineRule="auto"/>
      <w:ind w:firstLine="426"/>
      <w:jc w:val="both"/>
    </w:pPr>
    <w:rPr>
      <w:szCs w:val="20"/>
    </w:rPr>
  </w:style>
  <w:style w:type="character" w:customStyle="1" w:styleId="RientrocorpodeltestoCarattere">
    <w:name w:val="Rientro corpo del testo Carattere"/>
    <w:basedOn w:val="Carpredefinitoparagrafo"/>
    <w:link w:val="Rientrocorpodeltesto"/>
    <w:uiPriority w:val="99"/>
    <w:semiHidden/>
    <w:locked/>
    <w:rsid w:val="00824CF3"/>
    <w:rPr>
      <w:rFonts w:cs="Times New Roman"/>
      <w:sz w:val="24"/>
      <w:szCs w:val="24"/>
    </w:rPr>
  </w:style>
  <w:style w:type="paragraph" w:styleId="Corpodeltesto2">
    <w:name w:val="Body Text 2"/>
    <w:basedOn w:val="Normale"/>
    <w:link w:val="Corpodeltesto2Carattere"/>
    <w:uiPriority w:val="99"/>
    <w:rsid w:val="00824CF3"/>
    <w:pPr>
      <w:tabs>
        <w:tab w:val="left" w:pos="426"/>
      </w:tabs>
    </w:pPr>
    <w:rPr>
      <w:rFonts w:ascii="Arial" w:hAnsi="Arial" w:cs="Arial"/>
      <w:sz w:val="22"/>
    </w:rPr>
  </w:style>
  <w:style w:type="character" w:customStyle="1" w:styleId="Corpodeltesto2Carattere">
    <w:name w:val="Corpo del testo 2 Carattere"/>
    <w:basedOn w:val="Carpredefinitoparagrafo"/>
    <w:link w:val="Corpodeltesto2"/>
    <w:uiPriority w:val="99"/>
    <w:semiHidden/>
    <w:locked/>
    <w:rsid w:val="00824CF3"/>
    <w:rPr>
      <w:rFonts w:cs="Times New Roman"/>
      <w:sz w:val="24"/>
      <w:szCs w:val="24"/>
    </w:rPr>
  </w:style>
  <w:style w:type="paragraph" w:styleId="Corpodeltesto3">
    <w:name w:val="Body Text 3"/>
    <w:basedOn w:val="Normale"/>
    <w:link w:val="Corpodeltesto3Carattere"/>
    <w:uiPriority w:val="99"/>
    <w:rsid w:val="00824CF3"/>
    <w:pPr>
      <w:widowControl w:val="0"/>
      <w:overflowPunct w:val="0"/>
      <w:autoSpaceDE w:val="0"/>
      <w:autoSpaceDN w:val="0"/>
      <w:adjustRightInd w:val="0"/>
      <w:spacing w:after="120"/>
      <w:jc w:val="both"/>
    </w:pPr>
    <w:rPr>
      <w:rFonts w:ascii="Arial" w:hAnsi="Arial"/>
      <w:sz w:val="18"/>
      <w:szCs w:val="18"/>
    </w:rPr>
  </w:style>
  <w:style w:type="character" w:customStyle="1" w:styleId="Corpodeltesto3Carattere">
    <w:name w:val="Corpo del testo 3 Carattere"/>
    <w:basedOn w:val="Carpredefinitoparagrafo"/>
    <w:link w:val="Corpodeltesto3"/>
    <w:uiPriority w:val="99"/>
    <w:semiHidden/>
    <w:locked/>
    <w:rsid w:val="00824CF3"/>
    <w:rPr>
      <w:rFonts w:cs="Times New Roman"/>
      <w:sz w:val="16"/>
      <w:szCs w:val="16"/>
    </w:rPr>
  </w:style>
  <w:style w:type="paragraph" w:styleId="Rientrocorpodeltesto2">
    <w:name w:val="Body Text Indent 2"/>
    <w:basedOn w:val="Normale"/>
    <w:link w:val="Rientrocorpodeltesto2Carattere"/>
    <w:uiPriority w:val="99"/>
    <w:rsid w:val="00824CF3"/>
    <w:pPr>
      <w:spacing w:line="360" w:lineRule="auto"/>
      <w:ind w:left="360"/>
    </w:pPr>
    <w:rPr>
      <w:rFonts w:ascii="Arial" w:hAnsi="Arial" w:cs="Arial"/>
      <w:sz w:val="22"/>
      <w:szCs w:val="18"/>
    </w:rPr>
  </w:style>
  <w:style w:type="character" w:customStyle="1" w:styleId="Rientrocorpodeltesto2Carattere">
    <w:name w:val="Rientro corpo del testo 2 Carattere"/>
    <w:basedOn w:val="Carpredefinitoparagrafo"/>
    <w:link w:val="Rientrocorpodeltesto2"/>
    <w:uiPriority w:val="99"/>
    <w:semiHidden/>
    <w:locked/>
    <w:rsid w:val="00824CF3"/>
    <w:rPr>
      <w:rFonts w:cs="Times New Roman"/>
      <w:sz w:val="24"/>
      <w:szCs w:val="24"/>
    </w:rPr>
  </w:style>
  <w:style w:type="paragraph" w:customStyle="1" w:styleId="CPVC">
    <w:name w:val="CPV_C"/>
    <w:uiPriority w:val="99"/>
    <w:rsid w:val="00824CF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rsid w:val="00824CF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rsid w:val="00824CF3"/>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824CF3"/>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liv1unita">
    <w:name w:val="liv1_unita"/>
    <w:uiPriority w:val="99"/>
    <w:rsid w:val="00824CF3"/>
    <w:pPr>
      <w:widowControl w:val="0"/>
      <w:tabs>
        <w:tab w:val="left" w:pos="469"/>
        <w:tab w:val="left" w:pos="1887"/>
        <w:tab w:val="left" w:pos="3304"/>
        <w:tab w:val="left" w:pos="4721"/>
      </w:tabs>
      <w:autoSpaceDE w:val="0"/>
      <w:autoSpaceDN w:val="0"/>
      <w:adjustRightInd w:val="0"/>
      <w:spacing w:before="489" w:after="85" w:line="12" w:lineRule="atLeast"/>
      <w:ind w:left="469" w:hanging="469"/>
      <w:jc w:val="both"/>
    </w:pPr>
    <w:rPr>
      <w:rFonts w:ascii="UniversExBlkExt" w:hAnsi="UniversExBlkExt" w:cs="UniversExBlkExt"/>
      <w:b/>
      <w:bCs/>
      <w:sz w:val="16"/>
      <w:szCs w:val="16"/>
    </w:rPr>
  </w:style>
  <w:style w:type="paragraph" w:customStyle="1" w:styleId="sottocpv1">
    <w:name w:val="sottocpv1"/>
    <w:uiPriority w:val="99"/>
    <w:rsid w:val="00824CF3"/>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customStyle="1" w:styleId="BodyText21">
    <w:name w:val="Body Text 21"/>
    <w:basedOn w:val="Normale"/>
    <w:uiPriority w:val="99"/>
    <w:rsid w:val="00824CF3"/>
    <w:pPr>
      <w:widowControl w:val="0"/>
      <w:overflowPunct w:val="0"/>
      <w:autoSpaceDE w:val="0"/>
      <w:autoSpaceDN w:val="0"/>
      <w:adjustRightInd w:val="0"/>
      <w:spacing w:after="120"/>
      <w:jc w:val="both"/>
    </w:pPr>
    <w:rPr>
      <w:rFonts w:ascii="Arial" w:hAnsi="Arial"/>
      <w:b/>
      <w:i/>
      <w:szCs w:val="20"/>
    </w:rPr>
  </w:style>
  <w:style w:type="paragraph" w:customStyle="1" w:styleId="tabella">
    <w:name w:val="tabella"/>
    <w:basedOn w:val="Titolo3"/>
    <w:rsid w:val="00824CF3"/>
    <w:pPr>
      <w:keepNext/>
    </w:pPr>
    <w:rPr>
      <w:b w:val="0"/>
      <w:i/>
      <w:sz w:val="18"/>
      <w:szCs w:val="18"/>
    </w:rPr>
  </w:style>
  <w:style w:type="paragraph" w:customStyle="1" w:styleId="tit2-circ">
    <w:name w:val="tit2-circ"/>
    <w:basedOn w:val="Normale"/>
    <w:uiPriority w:val="99"/>
    <w:rsid w:val="00824CF3"/>
    <w:pPr>
      <w:keepNext/>
      <w:spacing w:before="360" w:after="100"/>
      <w:ind w:right="108"/>
      <w:jc w:val="both"/>
    </w:pPr>
    <w:rPr>
      <w:rFonts w:ascii="Futura" w:hAnsi="Futura"/>
      <w:b/>
      <w:caps/>
      <w:sz w:val="20"/>
      <w:szCs w:val="20"/>
    </w:rPr>
  </w:style>
  <w:style w:type="character" w:styleId="Rimandonotaapidipagina">
    <w:name w:val="footnote reference"/>
    <w:basedOn w:val="Carpredefinitoparagrafo"/>
    <w:uiPriority w:val="99"/>
    <w:semiHidden/>
    <w:rsid w:val="00824CF3"/>
    <w:rPr>
      <w:rFonts w:cs="Times New Roman"/>
      <w:vertAlign w:val="superscript"/>
    </w:rPr>
  </w:style>
  <w:style w:type="paragraph" w:styleId="Mappadocumento">
    <w:name w:val="Document Map"/>
    <w:basedOn w:val="Normale"/>
    <w:link w:val="MappadocumentoCarattere"/>
    <w:uiPriority w:val="99"/>
    <w:semiHidden/>
    <w:rsid w:val="00824CF3"/>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sid w:val="00824CF3"/>
    <w:rPr>
      <w:rFonts w:cs="Times New Roman"/>
      <w:sz w:val="2"/>
    </w:rPr>
  </w:style>
  <w:style w:type="paragraph" w:styleId="Testofumetto">
    <w:name w:val="Balloon Text"/>
    <w:basedOn w:val="Normale"/>
    <w:link w:val="TestofumettoCarattere"/>
    <w:uiPriority w:val="99"/>
    <w:semiHidden/>
    <w:rsid w:val="00824CF3"/>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24CF3"/>
    <w:rPr>
      <w:rFonts w:cs="Times New Roman"/>
      <w:sz w:val="2"/>
    </w:rPr>
  </w:style>
  <w:style w:type="character" w:customStyle="1" w:styleId="CarattereCarattere">
    <w:name w:val="Carattere Carattere"/>
    <w:uiPriority w:val="99"/>
    <w:rsid w:val="00824CF3"/>
    <w:rPr>
      <w:rFonts w:ascii="Arial" w:hAnsi="Arial"/>
      <w:kern w:val="28"/>
      <w:sz w:val="24"/>
    </w:rPr>
  </w:style>
  <w:style w:type="character" w:styleId="Numeropagina">
    <w:name w:val="page number"/>
    <w:basedOn w:val="Carpredefinitoparagrafo"/>
    <w:uiPriority w:val="99"/>
    <w:rsid w:val="00824CF3"/>
    <w:rPr>
      <w:rFonts w:cs="Times New Roman"/>
    </w:rPr>
  </w:style>
  <w:style w:type="character" w:styleId="Rimandocommento">
    <w:name w:val="annotation reference"/>
    <w:basedOn w:val="Carpredefinitoparagrafo"/>
    <w:uiPriority w:val="99"/>
    <w:semiHidden/>
    <w:rsid w:val="00824CF3"/>
    <w:rPr>
      <w:rFonts w:cs="Times New Roman"/>
      <w:sz w:val="16"/>
    </w:rPr>
  </w:style>
  <w:style w:type="paragraph" w:styleId="Testocommento">
    <w:name w:val="annotation text"/>
    <w:basedOn w:val="Normale"/>
    <w:link w:val="TestocommentoCarattere"/>
    <w:uiPriority w:val="99"/>
    <w:semiHidden/>
    <w:rsid w:val="00824CF3"/>
    <w:rPr>
      <w:sz w:val="20"/>
      <w:szCs w:val="20"/>
    </w:rPr>
  </w:style>
  <w:style w:type="character" w:customStyle="1" w:styleId="TestocommentoCarattere">
    <w:name w:val="Testo commento Carattere"/>
    <w:basedOn w:val="Carpredefinitoparagrafo"/>
    <w:link w:val="Testocommento"/>
    <w:uiPriority w:val="99"/>
    <w:semiHidden/>
    <w:locked/>
    <w:rsid w:val="00824CF3"/>
    <w:rPr>
      <w:rFonts w:cs="Times New Roman"/>
      <w:sz w:val="20"/>
      <w:szCs w:val="20"/>
    </w:rPr>
  </w:style>
  <w:style w:type="paragraph" w:styleId="Soggettocommento">
    <w:name w:val="annotation subject"/>
    <w:basedOn w:val="Testocommento"/>
    <w:next w:val="Testocommento"/>
    <w:link w:val="SoggettocommentoCarattere"/>
    <w:uiPriority w:val="99"/>
    <w:semiHidden/>
    <w:rsid w:val="00824CF3"/>
    <w:rPr>
      <w:b/>
      <w:bCs/>
    </w:rPr>
  </w:style>
  <w:style w:type="character" w:customStyle="1" w:styleId="SoggettocommentoCarattere">
    <w:name w:val="Soggetto commento Carattere"/>
    <w:basedOn w:val="TestocommentoCarattere"/>
    <w:link w:val="Soggettocommento"/>
    <w:uiPriority w:val="99"/>
    <w:semiHidden/>
    <w:locked/>
    <w:rsid w:val="00824CF3"/>
    <w:rPr>
      <w:rFonts w:cs="Times New Roman"/>
      <w:b/>
      <w:bCs/>
      <w:sz w:val="20"/>
      <w:szCs w:val="20"/>
    </w:rPr>
  </w:style>
  <w:style w:type="paragraph" w:customStyle="1" w:styleId="ListParagraph1">
    <w:name w:val="List Paragraph1"/>
    <w:basedOn w:val="Normale"/>
    <w:uiPriority w:val="99"/>
    <w:rsid w:val="00824CF3"/>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rsid w:val="00824CF3"/>
    <w:pPr>
      <w:spacing w:before="100" w:beforeAutospacing="1" w:after="100" w:afterAutospacing="1"/>
    </w:pPr>
  </w:style>
  <w:style w:type="character" w:styleId="Enfasicorsivo">
    <w:name w:val="Emphasis"/>
    <w:basedOn w:val="Carpredefinitoparagrafo"/>
    <w:uiPriority w:val="99"/>
    <w:qFormat/>
    <w:rsid w:val="00824CF3"/>
    <w:rPr>
      <w:rFonts w:cs="Times New Roman"/>
      <w:i/>
    </w:rPr>
  </w:style>
  <w:style w:type="character" w:styleId="Collegamentoipertestuale">
    <w:name w:val="Hyperlink"/>
    <w:basedOn w:val="Carpredefinitoparagrafo"/>
    <w:uiPriority w:val="99"/>
    <w:rsid w:val="00824CF3"/>
    <w:rPr>
      <w:rFonts w:cs="Times New Roman"/>
      <w:color w:val="0000FF"/>
      <w:u w:val="single"/>
    </w:rPr>
  </w:style>
  <w:style w:type="character" w:styleId="Collegamentovisitato">
    <w:name w:val="FollowedHyperlink"/>
    <w:basedOn w:val="Carpredefinitoparagrafo"/>
    <w:uiPriority w:val="99"/>
    <w:rsid w:val="00824CF3"/>
    <w:rPr>
      <w:rFonts w:cs="Times New Roman"/>
      <w:color w:val="800080"/>
      <w:u w:val="single"/>
    </w:rPr>
  </w:style>
  <w:style w:type="table" w:styleId="Grigliatabella">
    <w:name w:val="Table Grid"/>
    <w:basedOn w:val="Tabellanormale"/>
    <w:uiPriority w:val="99"/>
    <w:rsid w:val="00824C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e"/>
    <w:uiPriority w:val="99"/>
    <w:rsid w:val="00824CF3"/>
    <w:pPr>
      <w:widowControl w:val="0"/>
      <w:autoSpaceDE w:val="0"/>
      <w:autoSpaceDN w:val="0"/>
      <w:adjustRightInd w:val="0"/>
    </w:pPr>
    <w:rPr>
      <w:rFonts w:ascii="Thorndale AMT" w:hAnsi="Thorndale AMT" w:cs="Albany AMT"/>
    </w:rPr>
  </w:style>
  <w:style w:type="character" w:customStyle="1" w:styleId="linkneltesto">
    <w:name w:val="link_nel_testo"/>
    <w:uiPriority w:val="99"/>
    <w:rsid w:val="00824CF3"/>
    <w:rPr>
      <w:i/>
    </w:rPr>
  </w:style>
  <w:style w:type="paragraph" w:customStyle="1" w:styleId="provvr0">
    <w:name w:val="provv_r0"/>
    <w:basedOn w:val="Normale"/>
    <w:uiPriority w:val="99"/>
    <w:rsid w:val="00824CF3"/>
    <w:pPr>
      <w:spacing w:before="100" w:beforeAutospacing="1" w:after="100" w:afterAutospacing="1"/>
      <w:jc w:val="both"/>
    </w:pPr>
  </w:style>
  <w:style w:type="character" w:customStyle="1" w:styleId="provvnumcomma">
    <w:name w:val="provv_numcomma"/>
    <w:basedOn w:val="Carpredefinitoparagrafo"/>
    <w:uiPriority w:val="99"/>
    <w:rsid w:val="00824CF3"/>
    <w:rPr>
      <w:rFonts w:cs="Times New Roman"/>
    </w:rPr>
  </w:style>
  <w:style w:type="character" w:styleId="Enfasigrassetto">
    <w:name w:val="Strong"/>
    <w:basedOn w:val="Carpredefinitoparagrafo"/>
    <w:uiPriority w:val="99"/>
    <w:qFormat/>
    <w:rsid w:val="00824CF3"/>
    <w:rPr>
      <w:rFonts w:cs="Times New Roman"/>
      <w:b/>
    </w:rPr>
  </w:style>
  <w:style w:type="paragraph" w:customStyle="1" w:styleId="Default">
    <w:name w:val="Default"/>
    <w:uiPriority w:val="99"/>
    <w:rsid w:val="00824CF3"/>
    <w:pPr>
      <w:widowControl w:val="0"/>
      <w:suppressAutoHyphens/>
    </w:pPr>
    <w:rPr>
      <w:kern w:val="1"/>
      <w:lang w:eastAsia="ar-SA"/>
    </w:rPr>
  </w:style>
  <w:style w:type="paragraph" w:styleId="Sommario1">
    <w:name w:val="toc 1"/>
    <w:basedOn w:val="Normale"/>
    <w:next w:val="Normale"/>
    <w:autoRedefine/>
    <w:uiPriority w:val="99"/>
    <w:rsid w:val="00824CF3"/>
  </w:style>
  <w:style w:type="paragraph" w:styleId="Sommario2">
    <w:name w:val="toc 2"/>
    <w:basedOn w:val="Normale"/>
    <w:next w:val="Normale"/>
    <w:autoRedefine/>
    <w:uiPriority w:val="99"/>
    <w:rsid w:val="00824CF3"/>
    <w:pPr>
      <w:ind w:left="240"/>
    </w:pPr>
  </w:style>
  <w:style w:type="paragraph" w:styleId="Indice1">
    <w:name w:val="index 1"/>
    <w:basedOn w:val="Normale"/>
    <w:next w:val="Normale"/>
    <w:autoRedefine/>
    <w:uiPriority w:val="99"/>
    <w:rsid w:val="00824CF3"/>
    <w:pPr>
      <w:ind w:left="240" w:hanging="240"/>
    </w:pPr>
  </w:style>
  <w:style w:type="paragraph" w:styleId="Indice2">
    <w:name w:val="index 2"/>
    <w:basedOn w:val="Normale"/>
    <w:next w:val="Normale"/>
    <w:autoRedefine/>
    <w:uiPriority w:val="99"/>
    <w:rsid w:val="00824CF3"/>
    <w:pPr>
      <w:ind w:left="480" w:hanging="240"/>
    </w:pPr>
  </w:style>
  <w:style w:type="character" w:customStyle="1" w:styleId="apple-converted-space">
    <w:name w:val="apple-converted-space"/>
    <w:basedOn w:val="Carpredefinitoparagrafo"/>
    <w:uiPriority w:val="99"/>
    <w:rsid w:val="00824CF3"/>
    <w:rPr>
      <w:rFonts w:cs="Times New Roman"/>
    </w:rPr>
  </w:style>
  <w:style w:type="paragraph" w:styleId="PreformattatoHTML">
    <w:name w:val="HTML Preformatted"/>
    <w:basedOn w:val="Normale"/>
    <w:link w:val="PreformattatoHTMLCarattere"/>
    <w:uiPriority w:val="99"/>
    <w:rsid w:val="00824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locked/>
    <w:rsid w:val="00824CF3"/>
    <w:rPr>
      <w:rFonts w:ascii="Courier New" w:hAnsi="Courier New" w:cs="Courier New"/>
      <w:sz w:val="20"/>
      <w:szCs w:val="20"/>
    </w:rPr>
  </w:style>
  <w:style w:type="paragraph" w:styleId="Didascalia">
    <w:name w:val="caption"/>
    <w:basedOn w:val="Normale"/>
    <w:next w:val="Normale"/>
    <w:uiPriority w:val="99"/>
    <w:qFormat/>
    <w:rsid w:val="00824CF3"/>
    <w:rPr>
      <w:b/>
      <w:bCs/>
      <w:sz w:val="20"/>
      <w:szCs w:val="20"/>
    </w:rPr>
  </w:style>
  <w:style w:type="character" w:customStyle="1" w:styleId="navilast">
    <w:name w:val="navi_last"/>
    <w:basedOn w:val="Carpredefinitoparagrafo"/>
    <w:uiPriority w:val="99"/>
    <w:rsid w:val="00824CF3"/>
    <w:rPr>
      <w:rFonts w:cs="Times New Roman"/>
    </w:rPr>
  </w:style>
  <w:style w:type="paragraph" w:styleId="Paragrafoelenco">
    <w:name w:val="List Paragraph"/>
    <w:basedOn w:val="Normale"/>
    <w:uiPriority w:val="34"/>
    <w:qFormat/>
    <w:rsid w:val="00824CF3"/>
    <w:pPr>
      <w:ind w:left="720"/>
      <w:contextualSpacing/>
    </w:pPr>
  </w:style>
  <w:style w:type="character" w:customStyle="1" w:styleId="provvnumart">
    <w:name w:val="provv_numart"/>
    <w:basedOn w:val="Carpredefinitoparagrafo"/>
    <w:uiPriority w:val="99"/>
    <w:rsid w:val="00824CF3"/>
    <w:rPr>
      <w:rFonts w:cs="Times New Roman"/>
    </w:rPr>
  </w:style>
  <w:style w:type="character" w:customStyle="1" w:styleId="provvrubrica">
    <w:name w:val="provv_rubrica"/>
    <w:basedOn w:val="Carpredefinitoparagrafo"/>
    <w:uiPriority w:val="99"/>
    <w:rsid w:val="00824CF3"/>
    <w:rPr>
      <w:rFonts w:cs="Times New Roman"/>
    </w:rPr>
  </w:style>
  <w:style w:type="paragraph" w:styleId="Nessunaspaziatura">
    <w:name w:val="No Spacing"/>
    <w:uiPriority w:val="1"/>
    <w:qFormat/>
    <w:rsid w:val="00824CF3"/>
    <w:rPr>
      <w:sz w:val="24"/>
      <w:szCs w:val="24"/>
    </w:rPr>
  </w:style>
  <w:style w:type="paragraph" w:styleId="Sottotitolo">
    <w:name w:val="Subtitle"/>
    <w:basedOn w:val="Normale"/>
    <w:next w:val="Normale"/>
    <w:link w:val="SottotitoloCarattere"/>
    <w:uiPriority w:val="11"/>
    <w:qFormat/>
    <w:locked/>
    <w:rsid w:val="00824CF3"/>
    <w:pPr>
      <w:spacing w:after="60"/>
      <w:jc w:val="center"/>
      <w:outlineLvl w:val="1"/>
    </w:pPr>
    <w:rPr>
      <w:rFonts w:asciiTheme="majorHAnsi" w:eastAsiaTheme="majorEastAsia" w:hAnsiTheme="majorHAnsi" w:cstheme="majorBidi"/>
    </w:rPr>
  </w:style>
  <w:style w:type="character" w:customStyle="1" w:styleId="SottotitoloCarattere">
    <w:name w:val="Sottotitolo Carattere"/>
    <w:basedOn w:val="Carpredefinitoparagrafo"/>
    <w:link w:val="Sottotitolo"/>
    <w:uiPriority w:val="11"/>
    <w:rsid w:val="00824CF3"/>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Pr>
      <w:sz w:val="24"/>
      <w:szCs w:val="24"/>
    </w:rPr>
  </w:style>
  <w:style w:type="paragraph" w:styleId="Titolo1">
    <w:name w:val="heading 1"/>
    <w:basedOn w:val="Normale"/>
    <w:next w:val="Normale"/>
    <w:link w:val="Titolo1Carattere"/>
    <w:uiPriority w:val="99"/>
    <w:qFormat/>
    <w:pPr>
      <w:widowControl w:val="0"/>
      <w:pBdr>
        <w:top w:val="single" w:sz="6" w:space="1" w:color="auto" w:shadow="1"/>
        <w:left w:val="single" w:sz="6" w:space="4" w:color="auto" w:shadow="1"/>
        <w:bottom w:val="single" w:sz="6" w:space="1" w:color="auto" w:shadow="1"/>
        <w:right w:val="single" w:sz="6" w:space="4" w:color="auto" w:shadow="1"/>
      </w:pBdr>
      <w:shd w:val="clear" w:color="auto" w:fill="FFFFFF"/>
      <w:overflowPunct w:val="0"/>
      <w:autoSpaceDE w:val="0"/>
      <w:autoSpaceDN w:val="0"/>
      <w:adjustRightInd w:val="0"/>
      <w:spacing w:after="360"/>
      <w:jc w:val="center"/>
      <w:outlineLvl w:val="0"/>
    </w:pPr>
    <w:rPr>
      <w:rFonts w:ascii="Arial" w:hAnsi="Arial" w:cs="Arial"/>
      <w:b/>
      <w:i/>
      <w:szCs w:val="20"/>
    </w:rPr>
  </w:style>
  <w:style w:type="paragraph" w:styleId="Titolo2">
    <w:name w:val="heading 2"/>
    <w:basedOn w:val="Corpodeltesto2"/>
    <w:next w:val="Normale"/>
    <w:link w:val="Titolo2Carattere"/>
    <w:uiPriority w:val="99"/>
    <w:qFormat/>
    <w:pPr>
      <w:jc w:val="both"/>
      <w:outlineLvl w:val="1"/>
    </w:pPr>
    <w:rPr>
      <w:b/>
      <w:sz w:val="24"/>
      <w:u w:val="single"/>
    </w:rPr>
  </w:style>
  <w:style w:type="paragraph" w:styleId="Titolo3">
    <w:name w:val="heading 3"/>
    <w:basedOn w:val="Titolo2"/>
    <w:next w:val="Normale"/>
    <w:link w:val="Titolo3Carattere"/>
    <w:uiPriority w:val="99"/>
    <w:qFormat/>
    <w:pPr>
      <w:outlineLvl w:val="2"/>
    </w:pPr>
    <w:rPr>
      <w:rFonts w:cs="Times New Roman"/>
      <w:sz w:val="22"/>
    </w:rPr>
  </w:style>
  <w:style w:type="paragraph" w:styleId="Titolo4">
    <w:name w:val="heading 4"/>
    <w:basedOn w:val="Normale"/>
    <w:next w:val="Normale"/>
    <w:link w:val="Titolo4Carattere"/>
    <w:uiPriority w:val="99"/>
    <w:qFormat/>
    <w:pPr>
      <w:keepNext/>
      <w:spacing w:after="240"/>
      <w:jc w:val="center"/>
      <w:outlineLvl w:val="3"/>
    </w:pPr>
    <w:rPr>
      <w:rFonts w:ascii="Arial" w:hAnsi="Arial" w:cs="Arial"/>
      <w:b/>
      <w:i/>
      <w:sz w:val="36"/>
    </w:rPr>
  </w:style>
  <w:style w:type="paragraph" w:styleId="Titolo6">
    <w:name w:val="heading 6"/>
    <w:basedOn w:val="Normale"/>
    <w:next w:val="Normale"/>
    <w:link w:val="Titolo6Carattere"/>
    <w:uiPriority w:val="99"/>
    <w:qFormat/>
    <w:pPr>
      <w:keepNext/>
      <w:numPr>
        <w:ilvl w:val="12"/>
      </w:numPr>
      <w:jc w:val="both"/>
      <w:outlineLvl w:val="5"/>
    </w:pPr>
    <w:rPr>
      <w:rFonts w:ascii="Arial" w:hAnsi="Arial" w:cs="Arial"/>
      <w:b/>
      <w:u w:val="single"/>
    </w:rPr>
  </w:style>
  <w:style w:type="paragraph" w:styleId="Titolo8">
    <w:name w:val="heading 8"/>
    <w:basedOn w:val="Normale"/>
    <w:next w:val="Normale"/>
    <w:link w:val="Titolo8Carattere"/>
    <w:uiPriority w:val="99"/>
    <w:qFormat/>
    <w:pPr>
      <w:keepNext/>
      <w:widowControl w:val="0"/>
      <w:overflowPunct w:val="0"/>
      <w:autoSpaceDE w:val="0"/>
      <w:autoSpaceDN w:val="0"/>
      <w:adjustRightInd w:val="0"/>
      <w:spacing w:after="120"/>
      <w:jc w:val="both"/>
      <w:outlineLvl w:val="7"/>
    </w:pPr>
    <w:rPr>
      <w:rFonts w:ascii="Arial" w:hAnsi="Arial"/>
      <w:b/>
      <w:szCs w:val="20"/>
    </w:rPr>
  </w:style>
  <w:style w:type="paragraph" w:styleId="Titolo9">
    <w:name w:val="heading 9"/>
    <w:basedOn w:val="Normale"/>
    <w:next w:val="Normale"/>
    <w:link w:val="Titolo9Carattere"/>
    <w:uiPriority w:val="99"/>
    <w:qFormat/>
    <w:pPr>
      <w:keepNext/>
      <w:numPr>
        <w:ilvl w:val="12"/>
      </w:numPr>
      <w:outlineLvl w:val="8"/>
    </w:pPr>
    <w:rPr>
      <w:rFonts w:ascii="Arial" w:hAnsi="Arial" w:cs="Arial"/>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Pr>
      <w:rFonts w:ascii="Cambria" w:hAnsi="Cambria" w:cs="Times New Roman"/>
      <w:b/>
      <w:bCs/>
      <w:i/>
      <w:iCs/>
      <w:sz w:val="28"/>
      <w:szCs w:val="28"/>
    </w:rPr>
  </w:style>
  <w:style w:type="character" w:customStyle="1" w:styleId="Titolo3Carattere">
    <w:name w:val="Titolo 3 Carattere"/>
    <w:basedOn w:val="Carpredefinitoparagrafo"/>
    <w:link w:val="Titolo3"/>
    <w:uiPriority w:val="99"/>
    <w:locked/>
    <w:rPr>
      <w:rFonts w:ascii="Arial" w:hAnsi="Arial" w:cs="Times New Roman"/>
      <w:b/>
      <w:sz w:val="24"/>
      <w:u w:val="single"/>
    </w:rPr>
  </w:style>
  <w:style w:type="character" w:customStyle="1" w:styleId="Titolo4Carattere">
    <w:name w:val="Titolo 4 Carattere"/>
    <w:basedOn w:val="Carpredefinitoparagrafo"/>
    <w:link w:val="Titolo4"/>
    <w:uiPriority w:val="99"/>
    <w:semiHidden/>
    <w:locked/>
    <w:rPr>
      <w:rFonts w:ascii="Calibri" w:hAnsi="Calibri" w:cs="Times New Roman"/>
      <w:b/>
      <w:bCs/>
      <w:sz w:val="28"/>
      <w:szCs w:val="28"/>
    </w:rPr>
  </w:style>
  <w:style w:type="character" w:customStyle="1" w:styleId="Titolo6Carattere">
    <w:name w:val="Titolo 6 Carattere"/>
    <w:basedOn w:val="Carpredefinitoparagrafo"/>
    <w:link w:val="Titolo6"/>
    <w:uiPriority w:val="99"/>
    <w:semiHidden/>
    <w:locked/>
    <w:rPr>
      <w:rFonts w:ascii="Calibri" w:hAnsi="Calibri" w:cs="Times New Roman"/>
      <w:b/>
      <w:bCs/>
    </w:rPr>
  </w:style>
  <w:style w:type="character" w:customStyle="1" w:styleId="Titolo8Carattere">
    <w:name w:val="Titolo 8 Carattere"/>
    <w:basedOn w:val="Carpredefinitoparagrafo"/>
    <w:link w:val="Titolo8"/>
    <w:uiPriority w:val="99"/>
    <w:semiHidden/>
    <w:locked/>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Pr>
      <w:rFonts w:ascii="Cambria" w:hAnsi="Cambria" w:cs="Times New Roman"/>
    </w:rPr>
  </w:style>
  <w:style w:type="paragraph" w:styleId="Testonotaapidipagina">
    <w:name w:val="footnote text"/>
    <w:aliases w:val="Testo nota a piè di pagina Carattere,Testo nota a piè di pagina Carattere1 Carattere,Testo nota a piè di pagina Carattere Carattere Carattere,Testo nota a piè di pagina Carattere1 Carattere Carattere Carattere,Carattere"/>
    <w:basedOn w:val="Normale"/>
    <w:link w:val="TestonotaapidipaginaCarattere1"/>
    <w:uiPriority w:val="99"/>
    <w:semiHidden/>
    <w:pPr>
      <w:widowControl w:val="0"/>
      <w:tabs>
        <w:tab w:val="left" w:pos="567"/>
      </w:tabs>
      <w:overflowPunct w:val="0"/>
      <w:autoSpaceDE w:val="0"/>
      <w:autoSpaceDN w:val="0"/>
      <w:adjustRightInd w:val="0"/>
      <w:spacing w:after="120"/>
      <w:ind w:left="567" w:hanging="567"/>
      <w:jc w:val="both"/>
    </w:pPr>
    <w:rPr>
      <w:rFonts w:ascii="Arial" w:hAnsi="Arial"/>
      <w:sz w:val="20"/>
      <w:szCs w:val="20"/>
    </w:rPr>
  </w:style>
  <w:style w:type="character" w:customStyle="1" w:styleId="TestonotaapidipaginaCarattere1">
    <w:name w:val="Testo nota a piè di pagina Carattere1"/>
    <w:aliases w:val="Testo nota a piè di pagina Carattere Carattere,Testo nota a piè di pagina Carattere1 Carattere Carattere,Testo nota a piè di pagina Carattere Carattere Carattere Carattere,Carattere Carattere1"/>
    <w:basedOn w:val="Carpredefinitoparagrafo"/>
    <w:link w:val="Testonotaapidipagina"/>
    <w:uiPriority w:val="99"/>
    <w:locked/>
    <w:rPr>
      <w:rFonts w:ascii="Arial" w:hAnsi="Arial" w:cs="Times New Roman"/>
      <w:lang w:val="it-IT" w:eastAsia="it-IT"/>
    </w:rPr>
  </w:style>
  <w:style w:type="paragraph" w:styleId="Intestazione">
    <w:name w:val="header"/>
    <w:basedOn w:val="Normale"/>
    <w:link w:val="IntestazioneCarattere"/>
    <w:uiPriority w:val="99"/>
    <w:pPr>
      <w:widowControl w:val="0"/>
      <w:tabs>
        <w:tab w:val="center" w:pos="4819"/>
        <w:tab w:val="right" w:pos="9638"/>
      </w:tabs>
      <w:overflowPunct w:val="0"/>
      <w:autoSpaceDE w:val="0"/>
      <w:autoSpaceDN w:val="0"/>
      <w:adjustRightInd w:val="0"/>
      <w:spacing w:after="120"/>
      <w:jc w:val="both"/>
    </w:pPr>
    <w:rPr>
      <w:rFonts w:ascii="Arial" w:hAnsi="Arial"/>
      <w:szCs w:val="20"/>
    </w:rPr>
  </w:style>
  <w:style w:type="character" w:customStyle="1" w:styleId="IntestazioneCarattere">
    <w:name w:val="Intestazione Carattere"/>
    <w:basedOn w:val="Carpredefinitoparagrafo"/>
    <w:link w:val="Intestazione"/>
    <w:uiPriority w:val="99"/>
    <w:semiHidden/>
    <w:locked/>
    <w:rPr>
      <w:rFonts w:cs="Times New Roman"/>
      <w:sz w:val="24"/>
      <w:szCs w:val="24"/>
    </w:rPr>
  </w:style>
  <w:style w:type="paragraph" w:styleId="Pidipagina">
    <w:name w:val="footer"/>
    <w:basedOn w:val="Normale"/>
    <w:link w:val="PidipaginaCarattere"/>
    <w:uiPriority w:val="99"/>
    <w:pPr>
      <w:widowControl w:val="0"/>
      <w:pBdr>
        <w:top w:val="single" w:sz="6" w:space="1" w:color="auto"/>
      </w:pBdr>
      <w:overflowPunct w:val="0"/>
      <w:autoSpaceDE w:val="0"/>
      <w:autoSpaceDN w:val="0"/>
      <w:adjustRightInd w:val="0"/>
      <w:spacing w:after="120"/>
      <w:jc w:val="center"/>
    </w:pPr>
    <w:rPr>
      <w:rFonts w:ascii="Arial" w:hAnsi="Arial"/>
      <w:sz w:val="18"/>
      <w:szCs w:val="20"/>
    </w:rPr>
  </w:style>
  <w:style w:type="character" w:customStyle="1" w:styleId="PidipaginaCarattere">
    <w:name w:val="Piè di pagina Carattere"/>
    <w:basedOn w:val="Carpredefinitoparagrafo"/>
    <w:link w:val="Pidipagina"/>
    <w:uiPriority w:val="99"/>
    <w:semiHidden/>
    <w:locked/>
    <w:rPr>
      <w:rFonts w:cs="Times New Roman"/>
      <w:sz w:val="24"/>
      <w:szCs w:val="24"/>
    </w:rPr>
  </w:style>
  <w:style w:type="paragraph" w:styleId="Titolo">
    <w:name w:val="Title"/>
    <w:basedOn w:val="Normale"/>
    <w:link w:val="TitoloCarattere"/>
    <w:uiPriority w:val="99"/>
    <w:qFormat/>
    <w:pPr>
      <w:spacing w:after="360"/>
      <w:jc w:val="center"/>
    </w:pPr>
    <w:rPr>
      <w:rFonts w:ascii="Arial" w:hAnsi="Arial" w:cs="Arial"/>
      <w:b/>
      <w:i/>
      <w:sz w:val="36"/>
    </w:rPr>
  </w:style>
  <w:style w:type="character" w:customStyle="1" w:styleId="TitoloCarattere">
    <w:name w:val="Titolo Carattere"/>
    <w:basedOn w:val="Carpredefinitoparagrafo"/>
    <w:link w:val="Titolo"/>
    <w:uiPriority w:val="99"/>
    <w:locked/>
    <w:rPr>
      <w:rFonts w:ascii="Cambria" w:hAnsi="Cambria" w:cs="Times New Roman"/>
      <w:b/>
      <w:bCs/>
      <w:kern w:val="28"/>
      <w:sz w:val="32"/>
      <w:szCs w:val="32"/>
    </w:rPr>
  </w:style>
  <w:style w:type="paragraph" w:styleId="Corpotesto">
    <w:name w:val="Body Text"/>
    <w:basedOn w:val="Normale"/>
    <w:link w:val="CorpotestoCarattere"/>
    <w:uiPriority w:val="99"/>
    <w:pPr>
      <w:widowControl w:val="0"/>
      <w:overflowPunct w:val="0"/>
      <w:autoSpaceDE w:val="0"/>
      <w:autoSpaceDN w:val="0"/>
      <w:adjustRightInd w:val="0"/>
      <w:spacing w:after="120"/>
      <w:jc w:val="both"/>
    </w:pPr>
    <w:rPr>
      <w:rFonts w:ascii="Arial" w:hAnsi="Arial"/>
      <w:kern w:val="28"/>
      <w:szCs w:val="20"/>
    </w:rPr>
  </w:style>
  <w:style w:type="character" w:customStyle="1" w:styleId="CorpotestoCarattere">
    <w:name w:val="Corpo testo Carattere"/>
    <w:basedOn w:val="Carpredefinitoparagrafo"/>
    <w:link w:val="Corpotesto"/>
    <w:uiPriority w:val="99"/>
    <w:semiHidden/>
    <w:locked/>
    <w:rPr>
      <w:rFonts w:cs="Times New Roman"/>
      <w:sz w:val="24"/>
      <w:szCs w:val="24"/>
    </w:rPr>
  </w:style>
  <w:style w:type="paragraph" w:styleId="Rientrocorpodeltesto">
    <w:name w:val="Body Text Indent"/>
    <w:basedOn w:val="Normale"/>
    <w:link w:val="RientrocorpodeltestoCarattere"/>
    <w:uiPriority w:val="99"/>
    <w:pPr>
      <w:snapToGrid w:val="0"/>
      <w:spacing w:before="110" w:line="360" w:lineRule="auto"/>
      <w:ind w:firstLine="426"/>
      <w:jc w:val="both"/>
    </w:pPr>
    <w:rPr>
      <w:szCs w:val="20"/>
    </w:rPr>
  </w:style>
  <w:style w:type="character" w:customStyle="1" w:styleId="RientrocorpodeltestoCarattere">
    <w:name w:val="Rientro corpo del testo Carattere"/>
    <w:basedOn w:val="Carpredefinitoparagrafo"/>
    <w:link w:val="Rientrocorpodeltesto"/>
    <w:uiPriority w:val="99"/>
    <w:semiHidden/>
    <w:locked/>
    <w:rPr>
      <w:rFonts w:cs="Times New Roman"/>
      <w:sz w:val="24"/>
      <w:szCs w:val="24"/>
    </w:rPr>
  </w:style>
  <w:style w:type="paragraph" w:styleId="Corpodeltesto2">
    <w:name w:val="Body Text 2"/>
    <w:basedOn w:val="Normale"/>
    <w:link w:val="Corpodeltesto2Carattere"/>
    <w:uiPriority w:val="99"/>
    <w:pPr>
      <w:tabs>
        <w:tab w:val="left" w:pos="426"/>
      </w:tabs>
    </w:pPr>
    <w:rPr>
      <w:rFonts w:ascii="Arial" w:hAnsi="Arial" w:cs="Arial"/>
      <w:sz w:val="22"/>
    </w:rPr>
  </w:style>
  <w:style w:type="character" w:customStyle="1" w:styleId="Corpodeltesto2Carattere">
    <w:name w:val="Corpo del testo 2 Carattere"/>
    <w:basedOn w:val="Carpredefinitoparagrafo"/>
    <w:link w:val="Corpodeltesto2"/>
    <w:uiPriority w:val="99"/>
    <w:semiHidden/>
    <w:locked/>
    <w:rPr>
      <w:rFonts w:cs="Times New Roman"/>
      <w:sz w:val="24"/>
      <w:szCs w:val="24"/>
    </w:rPr>
  </w:style>
  <w:style w:type="paragraph" w:styleId="Corpodeltesto3">
    <w:name w:val="Body Text 3"/>
    <w:basedOn w:val="Normale"/>
    <w:link w:val="Corpodeltesto3Carattere"/>
    <w:uiPriority w:val="99"/>
    <w:pPr>
      <w:widowControl w:val="0"/>
      <w:overflowPunct w:val="0"/>
      <w:autoSpaceDE w:val="0"/>
      <w:autoSpaceDN w:val="0"/>
      <w:adjustRightInd w:val="0"/>
      <w:spacing w:after="120"/>
      <w:jc w:val="both"/>
    </w:pPr>
    <w:rPr>
      <w:rFonts w:ascii="Arial" w:hAnsi="Arial"/>
      <w:sz w:val="18"/>
      <w:szCs w:val="18"/>
    </w:rPr>
  </w:style>
  <w:style w:type="character" w:customStyle="1" w:styleId="Corpodeltesto3Carattere">
    <w:name w:val="Corpo del testo 3 Carattere"/>
    <w:basedOn w:val="Carpredefinitoparagrafo"/>
    <w:link w:val="Corpodeltesto3"/>
    <w:uiPriority w:val="99"/>
    <w:semiHidden/>
    <w:locked/>
    <w:rPr>
      <w:rFonts w:cs="Times New Roman"/>
      <w:sz w:val="16"/>
      <w:szCs w:val="16"/>
    </w:rPr>
  </w:style>
  <w:style w:type="paragraph" w:styleId="Rientrocorpodeltesto2">
    <w:name w:val="Body Text Indent 2"/>
    <w:basedOn w:val="Normale"/>
    <w:link w:val="Rientrocorpodeltesto2Carattere"/>
    <w:uiPriority w:val="99"/>
    <w:pPr>
      <w:spacing w:line="360" w:lineRule="auto"/>
      <w:ind w:left="360"/>
    </w:pPr>
    <w:rPr>
      <w:rFonts w:ascii="Arial" w:hAnsi="Arial" w:cs="Arial"/>
      <w:sz w:val="22"/>
      <w:szCs w:val="18"/>
    </w:rPr>
  </w:style>
  <w:style w:type="character" w:customStyle="1" w:styleId="Rientrocorpodeltesto2Carattere">
    <w:name w:val="Rientro corpo del testo 2 Carattere"/>
    <w:basedOn w:val="Carpredefinitoparagrafo"/>
    <w:link w:val="Rientrocorpodeltesto2"/>
    <w:uiPriority w:val="99"/>
    <w:semiHidden/>
    <w:locked/>
    <w:rPr>
      <w:rFonts w:cs="Times New Roman"/>
      <w:sz w:val="24"/>
      <w:szCs w:val="24"/>
    </w:rPr>
  </w:style>
  <w:style w:type="paragraph" w:customStyle="1" w:styleId="CPVC">
    <w:name w:val="CPV_C"/>
    <w:uiPriority w:val="9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liv1unita">
    <w:name w:val="liv1_unita"/>
    <w:uiPriority w:val="99"/>
    <w:pPr>
      <w:widowControl w:val="0"/>
      <w:tabs>
        <w:tab w:val="left" w:pos="469"/>
        <w:tab w:val="left" w:pos="1887"/>
        <w:tab w:val="left" w:pos="3304"/>
        <w:tab w:val="left" w:pos="4721"/>
      </w:tabs>
      <w:autoSpaceDE w:val="0"/>
      <w:autoSpaceDN w:val="0"/>
      <w:adjustRightInd w:val="0"/>
      <w:spacing w:before="489" w:after="85" w:line="12" w:lineRule="atLeast"/>
      <w:ind w:left="469" w:hanging="469"/>
      <w:jc w:val="both"/>
    </w:pPr>
    <w:rPr>
      <w:rFonts w:ascii="UniversExBlkExt" w:hAnsi="UniversExBlkExt" w:cs="UniversExBlkExt"/>
      <w:b/>
      <w:bCs/>
      <w:sz w:val="16"/>
      <w:szCs w:val="16"/>
    </w:rPr>
  </w:style>
  <w:style w:type="paragraph" w:customStyle="1" w:styleId="sottocpv1">
    <w:name w:val="sottocpv1"/>
    <w:uiPriority w:val="99"/>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customStyle="1" w:styleId="BodyText21">
    <w:name w:val="Body Text 21"/>
    <w:basedOn w:val="Normale"/>
    <w:uiPriority w:val="99"/>
    <w:pPr>
      <w:widowControl w:val="0"/>
      <w:overflowPunct w:val="0"/>
      <w:autoSpaceDE w:val="0"/>
      <w:autoSpaceDN w:val="0"/>
      <w:adjustRightInd w:val="0"/>
      <w:spacing w:after="120"/>
      <w:jc w:val="both"/>
    </w:pPr>
    <w:rPr>
      <w:rFonts w:ascii="Arial" w:hAnsi="Arial"/>
      <w:b/>
      <w:i/>
      <w:szCs w:val="20"/>
    </w:rPr>
  </w:style>
  <w:style w:type="paragraph" w:customStyle="1" w:styleId="tabella">
    <w:name w:val="tabella"/>
    <w:basedOn w:val="Titolo3"/>
    <w:pPr>
      <w:keepNext/>
    </w:pPr>
    <w:rPr>
      <w:b w:val="0"/>
      <w:i/>
      <w:sz w:val="18"/>
      <w:szCs w:val="18"/>
    </w:rPr>
  </w:style>
  <w:style w:type="paragraph" w:customStyle="1" w:styleId="tit2-circ">
    <w:name w:val="tit2-circ"/>
    <w:basedOn w:val="Normale"/>
    <w:uiPriority w:val="99"/>
    <w:pPr>
      <w:keepNext/>
      <w:spacing w:before="360" w:after="100"/>
      <w:ind w:right="108"/>
      <w:jc w:val="both"/>
    </w:pPr>
    <w:rPr>
      <w:rFonts w:ascii="Futura" w:hAnsi="Futura"/>
      <w:b/>
      <w:caps/>
      <w:sz w:val="20"/>
      <w:szCs w:val="20"/>
    </w:rPr>
  </w:style>
  <w:style w:type="character" w:styleId="Rimandonotaapidipagina">
    <w:name w:val="footnote reference"/>
    <w:basedOn w:val="Carpredefinitoparagrafo"/>
    <w:uiPriority w:val="99"/>
    <w:semiHidden/>
    <w:rPr>
      <w:rFonts w:cs="Times New Roman"/>
      <w:vertAlign w:val="superscript"/>
    </w:rPr>
  </w:style>
  <w:style w:type="paragraph" w:styleId="Mappadocumento">
    <w:name w:val="Document Map"/>
    <w:basedOn w:val="Normale"/>
    <w:link w:val="MappadocumentoCarattere"/>
    <w:uiPriority w:val="99"/>
    <w:semiHidden/>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Pr>
      <w:rFonts w:cs="Times New Roman"/>
      <w:sz w:val="2"/>
    </w:rPr>
  </w:style>
  <w:style w:type="paragraph" w:styleId="Testofumetto">
    <w:name w:val="Balloon Text"/>
    <w:basedOn w:val="Normale"/>
    <w:link w:val="TestofumettoCarattere"/>
    <w:uiPriority w:val="99"/>
    <w:semiHidden/>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Pr>
      <w:rFonts w:cs="Times New Roman"/>
      <w:sz w:val="2"/>
    </w:rPr>
  </w:style>
  <w:style w:type="character" w:customStyle="1" w:styleId="CarattereCarattere">
    <w:name w:val="Carattere Carattere"/>
    <w:uiPriority w:val="99"/>
    <w:rPr>
      <w:rFonts w:ascii="Arial" w:hAnsi="Arial"/>
      <w:kern w:val="28"/>
      <w:sz w:val="24"/>
    </w:rPr>
  </w:style>
  <w:style w:type="character" w:styleId="Numeropagina">
    <w:name w:val="page number"/>
    <w:basedOn w:val="Carpredefinitoparagrafo"/>
    <w:uiPriority w:val="99"/>
    <w:rPr>
      <w:rFonts w:cs="Times New Roman"/>
    </w:rPr>
  </w:style>
  <w:style w:type="character" w:styleId="Rimandocommento">
    <w:name w:val="annotation reference"/>
    <w:basedOn w:val="Carpredefinitoparagrafo"/>
    <w:uiPriority w:val="99"/>
    <w:semiHidden/>
    <w:rPr>
      <w:rFonts w:cs="Times New Roman"/>
      <w:sz w:val="16"/>
    </w:rPr>
  </w:style>
  <w:style w:type="paragraph" w:styleId="Testocommento">
    <w:name w:val="annotation text"/>
    <w:basedOn w:val="Normale"/>
    <w:link w:val="TestocommentoCarattere"/>
    <w:uiPriority w:val="99"/>
    <w:semiHidden/>
    <w:rPr>
      <w:sz w:val="20"/>
      <w:szCs w:val="20"/>
    </w:rPr>
  </w:style>
  <w:style w:type="character" w:customStyle="1" w:styleId="TestocommentoCarattere">
    <w:name w:val="Testo commento Carattere"/>
    <w:basedOn w:val="Carpredefinitoparagrafo"/>
    <w:link w:val="Testocommento"/>
    <w:uiPriority w:val="99"/>
    <w:semiHidden/>
    <w:locked/>
    <w:rPr>
      <w:rFonts w:cs="Times New Roman"/>
      <w:sz w:val="20"/>
      <w:szCs w:val="20"/>
    </w:rPr>
  </w:style>
  <w:style w:type="paragraph" w:styleId="Soggettocommento">
    <w:name w:val="annotation subject"/>
    <w:basedOn w:val="Testocommento"/>
    <w:next w:val="Testocommento"/>
    <w:link w:val="SoggettocommentoCarattere"/>
    <w:uiPriority w:val="99"/>
    <w:semiHidden/>
    <w:rPr>
      <w:b/>
      <w:bCs/>
    </w:rPr>
  </w:style>
  <w:style w:type="character" w:customStyle="1" w:styleId="SoggettocommentoCarattere">
    <w:name w:val="Soggetto commento Carattere"/>
    <w:basedOn w:val="TestocommentoCarattere"/>
    <w:link w:val="Soggettocommento"/>
    <w:uiPriority w:val="99"/>
    <w:semiHidden/>
    <w:locked/>
    <w:rPr>
      <w:rFonts w:cs="Times New Roman"/>
      <w:b/>
      <w:bCs/>
      <w:sz w:val="20"/>
      <w:szCs w:val="20"/>
    </w:rPr>
  </w:style>
  <w:style w:type="paragraph" w:customStyle="1" w:styleId="ListParagraph1">
    <w:name w:val="List Paragraph1"/>
    <w:basedOn w:val="Normale"/>
    <w:uiPriority w:val="99"/>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pPr>
      <w:spacing w:before="100" w:beforeAutospacing="1" w:after="100" w:afterAutospacing="1"/>
    </w:pPr>
  </w:style>
  <w:style w:type="character" w:styleId="Enfasicorsivo">
    <w:name w:val="Emphasis"/>
    <w:basedOn w:val="Carpredefinitoparagrafo"/>
    <w:uiPriority w:val="99"/>
    <w:qFormat/>
    <w:rPr>
      <w:rFonts w:cs="Times New Roman"/>
      <w:i/>
    </w:rPr>
  </w:style>
  <w:style w:type="character" w:styleId="Collegamentoipertestuale">
    <w:name w:val="Hyperlink"/>
    <w:basedOn w:val="Carpredefinitoparagrafo"/>
    <w:uiPriority w:val="99"/>
    <w:rPr>
      <w:rFonts w:cs="Times New Roman"/>
      <w:color w:val="0000FF"/>
      <w:u w:val="single"/>
    </w:rPr>
  </w:style>
  <w:style w:type="character" w:styleId="Collegamentovisitato">
    <w:name w:val="FollowedHyperlink"/>
    <w:basedOn w:val="Carpredefinitoparagrafo"/>
    <w:uiPriority w:val="99"/>
    <w:rPr>
      <w:rFonts w:cs="Times New Roman"/>
      <w:color w:val="800080"/>
      <w:u w:val="single"/>
    </w:rPr>
  </w:style>
  <w:style w:type="table" w:styleId="Grigliatabella">
    <w:name w:val="Table Grid"/>
    <w:basedOn w:val="Tabellanormale"/>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uiPriority w:val="99"/>
    <w:pPr>
      <w:widowControl w:val="0"/>
      <w:autoSpaceDE w:val="0"/>
      <w:autoSpaceDN w:val="0"/>
      <w:adjustRightInd w:val="0"/>
    </w:pPr>
    <w:rPr>
      <w:rFonts w:ascii="Thorndale AMT" w:hAnsi="Thorndale AMT" w:cs="Albany AMT"/>
    </w:rPr>
  </w:style>
  <w:style w:type="character" w:customStyle="1" w:styleId="linkneltesto">
    <w:name w:val="link_nel_testo"/>
    <w:uiPriority w:val="99"/>
    <w:rPr>
      <w:i/>
    </w:rPr>
  </w:style>
  <w:style w:type="paragraph" w:customStyle="1" w:styleId="provvr0">
    <w:name w:val="provv_r0"/>
    <w:basedOn w:val="Normale"/>
    <w:uiPriority w:val="99"/>
    <w:pPr>
      <w:spacing w:before="100" w:beforeAutospacing="1" w:after="100" w:afterAutospacing="1"/>
      <w:jc w:val="both"/>
    </w:pPr>
  </w:style>
  <w:style w:type="character" w:customStyle="1" w:styleId="provvnumcomma">
    <w:name w:val="provv_numcomma"/>
    <w:basedOn w:val="Carpredefinitoparagrafo"/>
    <w:uiPriority w:val="99"/>
    <w:rPr>
      <w:rFonts w:cs="Times New Roman"/>
    </w:rPr>
  </w:style>
  <w:style w:type="character" w:styleId="Enfasigrassetto">
    <w:name w:val="Strong"/>
    <w:basedOn w:val="Carpredefinitoparagrafo"/>
    <w:uiPriority w:val="99"/>
    <w:qFormat/>
    <w:rPr>
      <w:rFonts w:cs="Times New Roman"/>
      <w:b/>
    </w:rPr>
  </w:style>
  <w:style w:type="paragraph" w:customStyle="1" w:styleId="Default">
    <w:name w:val="Default"/>
    <w:uiPriority w:val="99"/>
    <w:pPr>
      <w:widowControl w:val="0"/>
      <w:suppressAutoHyphens/>
    </w:pPr>
    <w:rPr>
      <w:kern w:val="1"/>
      <w:lang w:eastAsia="ar-SA"/>
    </w:rPr>
  </w:style>
  <w:style w:type="paragraph" w:styleId="Sommario1">
    <w:name w:val="toc 1"/>
    <w:basedOn w:val="Normale"/>
    <w:next w:val="Normale"/>
    <w:autoRedefine/>
    <w:uiPriority w:val="99"/>
  </w:style>
  <w:style w:type="paragraph" w:styleId="Sommario2">
    <w:name w:val="toc 2"/>
    <w:basedOn w:val="Normale"/>
    <w:next w:val="Normale"/>
    <w:autoRedefine/>
    <w:uiPriority w:val="99"/>
    <w:pPr>
      <w:ind w:left="240"/>
    </w:pPr>
  </w:style>
  <w:style w:type="paragraph" w:styleId="Indice1">
    <w:name w:val="index 1"/>
    <w:basedOn w:val="Normale"/>
    <w:next w:val="Normale"/>
    <w:autoRedefine/>
    <w:uiPriority w:val="99"/>
    <w:pPr>
      <w:ind w:left="240" w:hanging="240"/>
    </w:pPr>
  </w:style>
  <w:style w:type="paragraph" w:styleId="Indice2">
    <w:name w:val="index 2"/>
    <w:basedOn w:val="Normale"/>
    <w:next w:val="Normale"/>
    <w:autoRedefine/>
    <w:uiPriority w:val="99"/>
    <w:pPr>
      <w:ind w:left="480" w:hanging="240"/>
    </w:pPr>
  </w:style>
  <w:style w:type="character" w:customStyle="1" w:styleId="apple-converted-space">
    <w:name w:val="apple-converted-space"/>
    <w:basedOn w:val="Carpredefinitoparagrafo"/>
    <w:uiPriority w:val="99"/>
    <w:rPr>
      <w:rFonts w:cs="Times New Roman"/>
    </w:rPr>
  </w:style>
  <w:style w:type="paragraph" w:styleId="PreformattatoHTML">
    <w:name w:val="HTML Preformatted"/>
    <w:basedOn w:val="Normale"/>
    <w:link w:val="PreformattatoHTMLCarattere"/>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locked/>
    <w:rPr>
      <w:rFonts w:ascii="Courier New" w:hAnsi="Courier New" w:cs="Courier New"/>
      <w:sz w:val="20"/>
      <w:szCs w:val="20"/>
    </w:rPr>
  </w:style>
  <w:style w:type="paragraph" w:styleId="Didascalia">
    <w:name w:val="caption"/>
    <w:basedOn w:val="Normale"/>
    <w:next w:val="Normale"/>
    <w:uiPriority w:val="99"/>
    <w:qFormat/>
    <w:rPr>
      <w:b/>
      <w:bCs/>
      <w:sz w:val="20"/>
      <w:szCs w:val="20"/>
    </w:rPr>
  </w:style>
  <w:style w:type="character" w:customStyle="1" w:styleId="navilast">
    <w:name w:val="navi_last"/>
    <w:basedOn w:val="Carpredefinitoparagrafo"/>
    <w:uiPriority w:val="99"/>
    <w:rPr>
      <w:rFonts w:cs="Times New Roman"/>
    </w:rPr>
  </w:style>
  <w:style w:type="paragraph" w:styleId="Paragrafoelenco">
    <w:name w:val="List Paragraph"/>
    <w:basedOn w:val="Normale"/>
    <w:uiPriority w:val="34"/>
    <w:qFormat/>
    <w:pPr>
      <w:ind w:left="720"/>
      <w:contextualSpacing/>
    </w:pPr>
  </w:style>
  <w:style w:type="character" w:customStyle="1" w:styleId="provvnumart">
    <w:name w:val="provv_numart"/>
    <w:basedOn w:val="Carpredefinitoparagrafo"/>
    <w:uiPriority w:val="99"/>
    <w:rPr>
      <w:rFonts w:cs="Times New Roman"/>
    </w:rPr>
  </w:style>
  <w:style w:type="character" w:customStyle="1" w:styleId="provvrubrica">
    <w:name w:val="provv_rubrica"/>
    <w:basedOn w:val="Carpredefinitoparagrafo"/>
    <w:uiPriority w:val="99"/>
    <w:rPr>
      <w:rFonts w:cs="Times New Roman"/>
    </w:rPr>
  </w:style>
  <w:style w:type="paragraph" w:styleId="Nessunaspaziatura">
    <w:name w:val="No Spacing"/>
    <w:uiPriority w:val="1"/>
    <w:qFormat/>
    <w:rPr>
      <w:sz w:val="24"/>
      <w:szCs w:val="24"/>
    </w:rPr>
  </w:style>
  <w:style w:type="paragraph" w:styleId="Sottotitolo">
    <w:name w:val="Subtitle"/>
    <w:basedOn w:val="Normale"/>
    <w:next w:val="Normale"/>
    <w:link w:val="SottotitoloCarattere"/>
    <w:uiPriority w:val="11"/>
    <w:qFormat/>
    <w:locked/>
    <w:pPr>
      <w:spacing w:after="60"/>
      <w:jc w:val="center"/>
      <w:outlineLvl w:val="1"/>
    </w:pPr>
    <w:rPr>
      <w:rFonts w:asciiTheme="majorHAnsi" w:eastAsiaTheme="majorEastAsia" w:hAnsiTheme="majorHAnsi" w:cstheme="majorBidi"/>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divs>
    <w:div w:id="120003280">
      <w:bodyDiv w:val="1"/>
      <w:marLeft w:val="0"/>
      <w:marRight w:val="0"/>
      <w:marTop w:val="0"/>
      <w:marBottom w:val="0"/>
      <w:divBdr>
        <w:top w:val="none" w:sz="0" w:space="0" w:color="auto"/>
        <w:left w:val="none" w:sz="0" w:space="0" w:color="auto"/>
        <w:bottom w:val="none" w:sz="0" w:space="0" w:color="auto"/>
        <w:right w:val="none" w:sz="0" w:space="0" w:color="auto"/>
      </w:divBdr>
    </w:div>
    <w:div w:id="563830100">
      <w:bodyDiv w:val="1"/>
      <w:marLeft w:val="0"/>
      <w:marRight w:val="0"/>
      <w:marTop w:val="0"/>
      <w:marBottom w:val="0"/>
      <w:divBdr>
        <w:top w:val="none" w:sz="0" w:space="0" w:color="auto"/>
        <w:left w:val="none" w:sz="0" w:space="0" w:color="auto"/>
        <w:bottom w:val="none" w:sz="0" w:space="0" w:color="auto"/>
        <w:right w:val="none" w:sz="0" w:space="0" w:color="auto"/>
      </w:divBdr>
    </w:div>
    <w:div w:id="897672172">
      <w:bodyDiv w:val="1"/>
      <w:marLeft w:val="0"/>
      <w:marRight w:val="0"/>
      <w:marTop w:val="0"/>
      <w:marBottom w:val="0"/>
      <w:divBdr>
        <w:top w:val="none" w:sz="0" w:space="0" w:color="auto"/>
        <w:left w:val="none" w:sz="0" w:space="0" w:color="auto"/>
        <w:bottom w:val="none" w:sz="0" w:space="0" w:color="auto"/>
        <w:right w:val="none" w:sz="0" w:space="0" w:color="auto"/>
      </w:divBdr>
    </w:div>
    <w:div w:id="1850825045">
      <w:marLeft w:val="0"/>
      <w:marRight w:val="0"/>
      <w:marTop w:val="0"/>
      <w:marBottom w:val="0"/>
      <w:divBdr>
        <w:top w:val="none" w:sz="0" w:space="0" w:color="auto"/>
        <w:left w:val="none" w:sz="0" w:space="0" w:color="auto"/>
        <w:bottom w:val="none" w:sz="0" w:space="0" w:color="auto"/>
        <w:right w:val="none" w:sz="0" w:space="0" w:color="auto"/>
      </w:divBdr>
    </w:div>
    <w:div w:id="1850825046">
      <w:marLeft w:val="0"/>
      <w:marRight w:val="0"/>
      <w:marTop w:val="0"/>
      <w:marBottom w:val="0"/>
      <w:divBdr>
        <w:top w:val="none" w:sz="0" w:space="0" w:color="auto"/>
        <w:left w:val="none" w:sz="0" w:space="0" w:color="auto"/>
        <w:bottom w:val="none" w:sz="0" w:space="0" w:color="auto"/>
        <w:right w:val="none" w:sz="0" w:space="0" w:color="auto"/>
      </w:divBdr>
    </w:div>
    <w:div w:id="1850825047">
      <w:marLeft w:val="0"/>
      <w:marRight w:val="0"/>
      <w:marTop w:val="0"/>
      <w:marBottom w:val="0"/>
      <w:divBdr>
        <w:top w:val="none" w:sz="0" w:space="0" w:color="auto"/>
        <w:left w:val="none" w:sz="0" w:space="0" w:color="auto"/>
        <w:bottom w:val="none" w:sz="0" w:space="0" w:color="auto"/>
        <w:right w:val="none" w:sz="0" w:space="0" w:color="auto"/>
      </w:divBdr>
    </w:div>
    <w:div w:id="1850825048">
      <w:marLeft w:val="0"/>
      <w:marRight w:val="0"/>
      <w:marTop w:val="0"/>
      <w:marBottom w:val="0"/>
      <w:divBdr>
        <w:top w:val="none" w:sz="0" w:space="0" w:color="auto"/>
        <w:left w:val="none" w:sz="0" w:space="0" w:color="auto"/>
        <w:bottom w:val="none" w:sz="0" w:space="0" w:color="auto"/>
        <w:right w:val="none" w:sz="0" w:space="0" w:color="auto"/>
      </w:divBdr>
    </w:div>
    <w:div w:id="1850825049">
      <w:marLeft w:val="0"/>
      <w:marRight w:val="0"/>
      <w:marTop w:val="0"/>
      <w:marBottom w:val="0"/>
      <w:divBdr>
        <w:top w:val="none" w:sz="0" w:space="0" w:color="auto"/>
        <w:left w:val="none" w:sz="0" w:space="0" w:color="auto"/>
        <w:bottom w:val="none" w:sz="0" w:space="0" w:color="auto"/>
        <w:right w:val="none" w:sz="0" w:space="0" w:color="auto"/>
      </w:divBdr>
    </w:div>
    <w:div w:id="1850825050">
      <w:marLeft w:val="0"/>
      <w:marRight w:val="0"/>
      <w:marTop w:val="0"/>
      <w:marBottom w:val="0"/>
      <w:divBdr>
        <w:top w:val="none" w:sz="0" w:space="0" w:color="auto"/>
        <w:left w:val="none" w:sz="0" w:space="0" w:color="auto"/>
        <w:bottom w:val="none" w:sz="0" w:space="0" w:color="auto"/>
        <w:right w:val="none" w:sz="0" w:space="0" w:color="auto"/>
      </w:divBdr>
    </w:div>
    <w:div w:id="1850825052">
      <w:marLeft w:val="0"/>
      <w:marRight w:val="0"/>
      <w:marTop w:val="0"/>
      <w:marBottom w:val="0"/>
      <w:divBdr>
        <w:top w:val="none" w:sz="0" w:space="0" w:color="auto"/>
        <w:left w:val="none" w:sz="0" w:space="0" w:color="auto"/>
        <w:bottom w:val="none" w:sz="0" w:space="0" w:color="auto"/>
        <w:right w:val="none" w:sz="0" w:space="0" w:color="auto"/>
      </w:divBdr>
    </w:div>
    <w:div w:id="1850825053">
      <w:marLeft w:val="0"/>
      <w:marRight w:val="0"/>
      <w:marTop w:val="0"/>
      <w:marBottom w:val="0"/>
      <w:divBdr>
        <w:top w:val="none" w:sz="0" w:space="0" w:color="auto"/>
        <w:left w:val="none" w:sz="0" w:space="0" w:color="auto"/>
        <w:bottom w:val="none" w:sz="0" w:space="0" w:color="auto"/>
        <w:right w:val="none" w:sz="0" w:space="0" w:color="auto"/>
      </w:divBdr>
    </w:div>
    <w:div w:id="1850825054">
      <w:marLeft w:val="0"/>
      <w:marRight w:val="0"/>
      <w:marTop w:val="0"/>
      <w:marBottom w:val="0"/>
      <w:divBdr>
        <w:top w:val="none" w:sz="0" w:space="0" w:color="auto"/>
        <w:left w:val="none" w:sz="0" w:space="0" w:color="auto"/>
        <w:bottom w:val="none" w:sz="0" w:space="0" w:color="auto"/>
        <w:right w:val="none" w:sz="0" w:space="0" w:color="auto"/>
      </w:divBdr>
    </w:div>
    <w:div w:id="1850825055">
      <w:marLeft w:val="0"/>
      <w:marRight w:val="0"/>
      <w:marTop w:val="0"/>
      <w:marBottom w:val="0"/>
      <w:divBdr>
        <w:top w:val="none" w:sz="0" w:space="0" w:color="auto"/>
        <w:left w:val="none" w:sz="0" w:space="0" w:color="auto"/>
        <w:bottom w:val="none" w:sz="0" w:space="0" w:color="auto"/>
        <w:right w:val="none" w:sz="0" w:space="0" w:color="auto"/>
      </w:divBdr>
    </w:div>
    <w:div w:id="1850825056">
      <w:marLeft w:val="0"/>
      <w:marRight w:val="0"/>
      <w:marTop w:val="0"/>
      <w:marBottom w:val="0"/>
      <w:divBdr>
        <w:top w:val="none" w:sz="0" w:space="0" w:color="auto"/>
        <w:left w:val="none" w:sz="0" w:space="0" w:color="auto"/>
        <w:bottom w:val="none" w:sz="0" w:space="0" w:color="auto"/>
        <w:right w:val="none" w:sz="0" w:space="0" w:color="auto"/>
      </w:divBdr>
    </w:div>
    <w:div w:id="1850825057">
      <w:marLeft w:val="0"/>
      <w:marRight w:val="0"/>
      <w:marTop w:val="0"/>
      <w:marBottom w:val="0"/>
      <w:divBdr>
        <w:top w:val="none" w:sz="0" w:space="0" w:color="auto"/>
        <w:left w:val="none" w:sz="0" w:space="0" w:color="auto"/>
        <w:bottom w:val="none" w:sz="0" w:space="0" w:color="auto"/>
        <w:right w:val="none" w:sz="0" w:space="0" w:color="auto"/>
      </w:divBdr>
    </w:div>
    <w:div w:id="1850825058">
      <w:marLeft w:val="0"/>
      <w:marRight w:val="0"/>
      <w:marTop w:val="0"/>
      <w:marBottom w:val="0"/>
      <w:divBdr>
        <w:top w:val="none" w:sz="0" w:space="0" w:color="auto"/>
        <w:left w:val="none" w:sz="0" w:space="0" w:color="auto"/>
        <w:bottom w:val="none" w:sz="0" w:space="0" w:color="auto"/>
        <w:right w:val="none" w:sz="0" w:space="0" w:color="auto"/>
      </w:divBdr>
    </w:div>
    <w:div w:id="1850825059">
      <w:marLeft w:val="0"/>
      <w:marRight w:val="0"/>
      <w:marTop w:val="0"/>
      <w:marBottom w:val="0"/>
      <w:divBdr>
        <w:top w:val="none" w:sz="0" w:space="0" w:color="auto"/>
        <w:left w:val="none" w:sz="0" w:space="0" w:color="auto"/>
        <w:bottom w:val="none" w:sz="0" w:space="0" w:color="auto"/>
        <w:right w:val="none" w:sz="0" w:space="0" w:color="auto"/>
      </w:divBdr>
    </w:div>
    <w:div w:id="1850825061">
      <w:marLeft w:val="0"/>
      <w:marRight w:val="0"/>
      <w:marTop w:val="0"/>
      <w:marBottom w:val="0"/>
      <w:divBdr>
        <w:top w:val="none" w:sz="0" w:space="0" w:color="auto"/>
        <w:left w:val="none" w:sz="0" w:space="0" w:color="auto"/>
        <w:bottom w:val="none" w:sz="0" w:space="0" w:color="auto"/>
        <w:right w:val="none" w:sz="0" w:space="0" w:color="auto"/>
      </w:divBdr>
    </w:div>
    <w:div w:id="1850825062">
      <w:marLeft w:val="0"/>
      <w:marRight w:val="0"/>
      <w:marTop w:val="0"/>
      <w:marBottom w:val="0"/>
      <w:divBdr>
        <w:top w:val="none" w:sz="0" w:space="0" w:color="auto"/>
        <w:left w:val="none" w:sz="0" w:space="0" w:color="auto"/>
        <w:bottom w:val="none" w:sz="0" w:space="0" w:color="auto"/>
        <w:right w:val="none" w:sz="0" w:space="0" w:color="auto"/>
      </w:divBdr>
    </w:div>
    <w:div w:id="1850825064">
      <w:marLeft w:val="0"/>
      <w:marRight w:val="0"/>
      <w:marTop w:val="0"/>
      <w:marBottom w:val="0"/>
      <w:divBdr>
        <w:top w:val="none" w:sz="0" w:space="0" w:color="auto"/>
        <w:left w:val="none" w:sz="0" w:space="0" w:color="auto"/>
        <w:bottom w:val="none" w:sz="0" w:space="0" w:color="auto"/>
        <w:right w:val="none" w:sz="0" w:space="0" w:color="auto"/>
      </w:divBdr>
    </w:div>
    <w:div w:id="1850825066">
      <w:marLeft w:val="0"/>
      <w:marRight w:val="0"/>
      <w:marTop w:val="0"/>
      <w:marBottom w:val="0"/>
      <w:divBdr>
        <w:top w:val="none" w:sz="0" w:space="0" w:color="auto"/>
        <w:left w:val="none" w:sz="0" w:space="0" w:color="auto"/>
        <w:bottom w:val="none" w:sz="0" w:space="0" w:color="auto"/>
        <w:right w:val="none" w:sz="0" w:space="0" w:color="auto"/>
      </w:divBdr>
    </w:div>
    <w:div w:id="1850825067">
      <w:marLeft w:val="0"/>
      <w:marRight w:val="0"/>
      <w:marTop w:val="0"/>
      <w:marBottom w:val="0"/>
      <w:divBdr>
        <w:top w:val="none" w:sz="0" w:space="0" w:color="auto"/>
        <w:left w:val="none" w:sz="0" w:space="0" w:color="auto"/>
        <w:bottom w:val="none" w:sz="0" w:space="0" w:color="auto"/>
        <w:right w:val="none" w:sz="0" w:space="0" w:color="auto"/>
      </w:divBdr>
    </w:div>
    <w:div w:id="1850825068">
      <w:marLeft w:val="0"/>
      <w:marRight w:val="0"/>
      <w:marTop w:val="0"/>
      <w:marBottom w:val="0"/>
      <w:divBdr>
        <w:top w:val="none" w:sz="0" w:space="0" w:color="auto"/>
        <w:left w:val="none" w:sz="0" w:space="0" w:color="auto"/>
        <w:bottom w:val="none" w:sz="0" w:space="0" w:color="auto"/>
        <w:right w:val="none" w:sz="0" w:space="0" w:color="auto"/>
      </w:divBdr>
    </w:div>
    <w:div w:id="1850825069">
      <w:marLeft w:val="0"/>
      <w:marRight w:val="0"/>
      <w:marTop w:val="0"/>
      <w:marBottom w:val="0"/>
      <w:divBdr>
        <w:top w:val="none" w:sz="0" w:space="0" w:color="auto"/>
        <w:left w:val="none" w:sz="0" w:space="0" w:color="auto"/>
        <w:bottom w:val="none" w:sz="0" w:space="0" w:color="auto"/>
        <w:right w:val="none" w:sz="0" w:space="0" w:color="auto"/>
      </w:divBdr>
    </w:div>
    <w:div w:id="1850825070">
      <w:marLeft w:val="0"/>
      <w:marRight w:val="0"/>
      <w:marTop w:val="0"/>
      <w:marBottom w:val="0"/>
      <w:divBdr>
        <w:top w:val="none" w:sz="0" w:space="0" w:color="auto"/>
        <w:left w:val="none" w:sz="0" w:space="0" w:color="auto"/>
        <w:bottom w:val="none" w:sz="0" w:space="0" w:color="auto"/>
        <w:right w:val="none" w:sz="0" w:space="0" w:color="auto"/>
      </w:divBdr>
    </w:div>
    <w:div w:id="1850825071">
      <w:marLeft w:val="0"/>
      <w:marRight w:val="0"/>
      <w:marTop w:val="0"/>
      <w:marBottom w:val="0"/>
      <w:divBdr>
        <w:top w:val="none" w:sz="0" w:space="0" w:color="auto"/>
        <w:left w:val="none" w:sz="0" w:space="0" w:color="auto"/>
        <w:bottom w:val="none" w:sz="0" w:space="0" w:color="auto"/>
        <w:right w:val="none" w:sz="0" w:space="0" w:color="auto"/>
      </w:divBdr>
    </w:div>
    <w:div w:id="1850825072">
      <w:marLeft w:val="0"/>
      <w:marRight w:val="0"/>
      <w:marTop w:val="0"/>
      <w:marBottom w:val="0"/>
      <w:divBdr>
        <w:top w:val="none" w:sz="0" w:space="0" w:color="auto"/>
        <w:left w:val="none" w:sz="0" w:space="0" w:color="auto"/>
        <w:bottom w:val="none" w:sz="0" w:space="0" w:color="auto"/>
        <w:right w:val="none" w:sz="0" w:space="0" w:color="auto"/>
      </w:divBdr>
    </w:div>
    <w:div w:id="1850825073">
      <w:marLeft w:val="0"/>
      <w:marRight w:val="0"/>
      <w:marTop w:val="0"/>
      <w:marBottom w:val="0"/>
      <w:divBdr>
        <w:top w:val="none" w:sz="0" w:space="0" w:color="auto"/>
        <w:left w:val="none" w:sz="0" w:space="0" w:color="auto"/>
        <w:bottom w:val="none" w:sz="0" w:space="0" w:color="auto"/>
        <w:right w:val="none" w:sz="0" w:space="0" w:color="auto"/>
      </w:divBdr>
    </w:div>
    <w:div w:id="1850825074">
      <w:marLeft w:val="0"/>
      <w:marRight w:val="0"/>
      <w:marTop w:val="0"/>
      <w:marBottom w:val="0"/>
      <w:divBdr>
        <w:top w:val="none" w:sz="0" w:space="0" w:color="auto"/>
        <w:left w:val="none" w:sz="0" w:space="0" w:color="auto"/>
        <w:bottom w:val="none" w:sz="0" w:space="0" w:color="auto"/>
        <w:right w:val="none" w:sz="0" w:space="0" w:color="auto"/>
      </w:divBdr>
    </w:div>
    <w:div w:id="1850825076">
      <w:marLeft w:val="0"/>
      <w:marRight w:val="0"/>
      <w:marTop w:val="0"/>
      <w:marBottom w:val="0"/>
      <w:divBdr>
        <w:top w:val="none" w:sz="0" w:space="0" w:color="auto"/>
        <w:left w:val="none" w:sz="0" w:space="0" w:color="auto"/>
        <w:bottom w:val="none" w:sz="0" w:space="0" w:color="auto"/>
        <w:right w:val="none" w:sz="0" w:space="0" w:color="auto"/>
      </w:divBdr>
    </w:div>
    <w:div w:id="1850825077">
      <w:marLeft w:val="0"/>
      <w:marRight w:val="0"/>
      <w:marTop w:val="0"/>
      <w:marBottom w:val="0"/>
      <w:divBdr>
        <w:top w:val="none" w:sz="0" w:space="0" w:color="auto"/>
        <w:left w:val="none" w:sz="0" w:space="0" w:color="auto"/>
        <w:bottom w:val="none" w:sz="0" w:space="0" w:color="auto"/>
        <w:right w:val="none" w:sz="0" w:space="0" w:color="auto"/>
      </w:divBdr>
    </w:div>
    <w:div w:id="1850825078">
      <w:marLeft w:val="0"/>
      <w:marRight w:val="0"/>
      <w:marTop w:val="0"/>
      <w:marBottom w:val="0"/>
      <w:divBdr>
        <w:top w:val="none" w:sz="0" w:space="0" w:color="auto"/>
        <w:left w:val="none" w:sz="0" w:space="0" w:color="auto"/>
        <w:bottom w:val="none" w:sz="0" w:space="0" w:color="auto"/>
        <w:right w:val="none" w:sz="0" w:space="0" w:color="auto"/>
      </w:divBdr>
    </w:div>
    <w:div w:id="1850825080">
      <w:marLeft w:val="0"/>
      <w:marRight w:val="0"/>
      <w:marTop w:val="0"/>
      <w:marBottom w:val="0"/>
      <w:divBdr>
        <w:top w:val="none" w:sz="0" w:space="0" w:color="auto"/>
        <w:left w:val="none" w:sz="0" w:space="0" w:color="auto"/>
        <w:bottom w:val="none" w:sz="0" w:space="0" w:color="auto"/>
        <w:right w:val="none" w:sz="0" w:space="0" w:color="auto"/>
      </w:divBdr>
    </w:div>
    <w:div w:id="1850825081">
      <w:marLeft w:val="0"/>
      <w:marRight w:val="0"/>
      <w:marTop w:val="0"/>
      <w:marBottom w:val="0"/>
      <w:divBdr>
        <w:top w:val="none" w:sz="0" w:space="0" w:color="auto"/>
        <w:left w:val="none" w:sz="0" w:space="0" w:color="auto"/>
        <w:bottom w:val="none" w:sz="0" w:space="0" w:color="auto"/>
        <w:right w:val="none" w:sz="0" w:space="0" w:color="auto"/>
      </w:divBdr>
    </w:div>
    <w:div w:id="1850825083">
      <w:marLeft w:val="0"/>
      <w:marRight w:val="0"/>
      <w:marTop w:val="0"/>
      <w:marBottom w:val="0"/>
      <w:divBdr>
        <w:top w:val="none" w:sz="0" w:space="0" w:color="auto"/>
        <w:left w:val="none" w:sz="0" w:space="0" w:color="auto"/>
        <w:bottom w:val="none" w:sz="0" w:space="0" w:color="auto"/>
        <w:right w:val="none" w:sz="0" w:space="0" w:color="auto"/>
      </w:divBdr>
    </w:div>
    <w:div w:id="1850825084">
      <w:marLeft w:val="0"/>
      <w:marRight w:val="0"/>
      <w:marTop w:val="0"/>
      <w:marBottom w:val="0"/>
      <w:divBdr>
        <w:top w:val="none" w:sz="0" w:space="0" w:color="auto"/>
        <w:left w:val="none" w:sz="0" w:space="0" w:color="auto"/>
        <w:bottom w:val="none" w:sz="0" w:space="0" w:color="auto"/>
        <w:right w:val="none" w:sz="0" w:space="0" w:color="auto"/>
      </w:divBdr>
    </w:div>
    <w:div w:id="1850825085">
      <w:marLeft w:val="0"/>
      <w:marRight w:val="0"/>
      <w:marTop w:val="0"/>
      <w:marBottom w:val="0"/>
      <w:divBdr>
        <w:top w:val="none" w:sz="0" w:space="0" w:color="auto"/>
        <w:left w:val="none" w:sz="0" w:space="0" w:color="auto"/>
        <w:bottom w:val="none" w:sz="0" w:space="0" w:color="auto"/>
        <w:right w:val="none" w:sz="0" w:space="0" w:color="auto"/>
      </w:divBdr>
    </w:div>
    <w:div w:id="1850825086">
      <w:marLeft w:val="0"/>
      <w:marRight w:val="0"/>
      <w:marTop w:val="0"/>
      <w:marBottom w:val="0"/>
      <w:divBdr>
        <w:top w:val="none" w:sz="0" w:space="0" w:color="auto"/>
        <w:left w:val="none" w:sz="0" w:space="0" w:color="auto"/>
        <w:bottom w:val="none" w:sz="0" w:space="0" w:color="auto"/>
        <w:right w:val="none" w:sz="0" w:space="0" w:color="auto"/>
      </w:divBdr>
    </w:div>
    <w:div w:id="1850825087">
      <w:marLeft w:val="0"/>
      <w:marRight w:val="0"/>
      <w:marTop w:val="0"/>
      <w:marBottom w:val="0"/>
      <w:divBdr>
        <w:top w:val="none" w:sz="0" w:space="0" w:color="auto"/>
        <w:left w:val="none" w:sz="0" w:space="0" w:color="auto"/>
        <w:bottom w:val="none" w:sz="0" w:space="0" w:color="auto"/>
        <w:right w:val="none" w:sz="0" w:space="0" w:color="auto"/>
      </w:divBdr>
      <w:divsChild>
        <w:div w:id="1850825118">
          <w:marLeft w:val="0"/>
          <w:marRight w:val="0"/>
          <w:marTop w:val="0"/>
          <w:marBottom w:val="0"/>
          <w:divBdr>
            <w:top w:val="none" w:sz="0" w:space="0" w:color="auto"/>
            <w:left w:val="none" w:sz="0" w:space="0" w:color="auto"/>
            <w:bottom w:val="none" w:sz="0" w:space="0" w:color="auto"/>
            <w:right w:val="none" w:sz="0" w:space="0" w:color="auto"/>
          </w:divBdr>
          <w:divsChild>
            <w:div w:id="1850825051">
              <w:marLeft w:val="0"/>
              <w:marRight w:val="0"/>
              <w:marTop w:val="0"/>
              <w:marBottom w:val="0"/>
              <w:divBdr>
                <w:top w:val="none" w:sz="0" w:space="0" w:color="auto"/>
                <w:left w:val="none" w:sz="0" w:space="0" w:color="auto"/>
                <w:bottom w:val="none" w:sz="0" w:space="0" w:color="auto"/>
                <w:right w:val="none" w:sz="0" w:space="0" w:color="auto"/>
              </w:divBdr>
              <w:divsChild>
                <w:div w:id="1850825110">
                  <w:marLeft w:val="0"/>
                  <w:marRight w:val="0"/>
                  <w:marTop w:val="0"/>
                  <w:marBottom w:val="0"/>
                  <w:divBdr>
                    <w:top w:val="none" w:sz="0" w:space="0" w:color="auto"/>
                    <w:left w:val="none" w:sz="0" w:space="0" w:color="auto"/>
                    <w:bottom w:val="none" w:sz="0" w:space="0" w:color="auto"/>
                    <w:right w:val="none" w:sz="0" w:space="0" w:color="auto"/>
                  </w:divBdr>
                  <w:divsChild>
                    <w:div w:id="1850825075">
                      <w:marLeft w:val="0"/>
                      <w:marRight w:val="0"/>
                      <w:marTop w:val="0"/>
                      <w:marBottom w:val="0"/>
                      <w:divBdr>
                        <w:top w:val="none" w:sz="0" w:space="0" w:color="auto"/>
                        <w:left w:val="none" w:sz="0" w:space="0" w:color="auto"/>
                        <w:bottom w:val="none" w:sz="0" w:space="0" w:color="auto"/>
                        <w:right w:val="none" w:sz="0" w:space="0" w:color="auto"/>
                      </w:divBdr>
                      <w:divsChild>
                        <w:div w:id="1850825079">
                          <w:marLeft w:val="0"/>
                          <w:marRight w:val="0"/>
                          <w:marTop w:val="0"/>
                          <w:marBottom w:val="0"/>
                          <w:divBdr>
                            <w:top w:val="none" w:sz="0" w:space="0" w:color="auto"/>
                            <w:left w:val="none" w:sz="0" w:space="0" w:color="auto"/>
                            <w:bottom w:val="none" w:sz="0" w:space="0" w:color="auto"/>
                            <w:right w:val="none" w:sz="0" w:space="0" w:color="auto"/>
                          </w:divBdr>
                          <w:divsChild>
                            <w:div w:id="18508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25089">
      <w:marLeft w:val="0"/>
      <w:marRight w:val="0"/>
      <w:marTop w:val="0"/>
      <w:marBottom w:val="0"/>
      <w:divBdr>
        <w:top w:val="none" w:sz="0" w:space="0" w:color="auto"/>
        <w:left w:val="none" w:sz="0" w:space="0" w:color="auto"/>
        <w:bottom w:val="none" w:sz="0" w:space="0" w:color="auto"/>
        <w:right w:val="none" w:sz="0" w:space="0" w:color="auto"/>
      </w:divBdr>
    </w:div>
    <w:div w:id="1850825090">
      <w:marLeft w:val="0"/>
      <w:marRight w:val="0"/>
      <w:marTop w:val="0"/>
      <w:marBottom w:val="0"/>
      <w:divBdr>
        <w:top w:val="none" w:sz="0" w:space="0" w:color="auto"/>
        <w:left w:val="none" w:sz="0" w:space="0" w:color="auto"/>
        <w:bottom w:val="none" w:sz="0" w:space="0" w:color="auto"/>
        <w:right w:val="none" w:sz="0" w:space="0" w:color="auto"/>
      </w:divBdr>
    </w:div>
    <w:div w:id="1850825091">
      <w:marLeft w:val="0"/>
      <w:marRight w:val="0"/>
      <w:marTop w:val="0"/>
      <w:marBottom w:val="0"/>
      <w:divBdr>
        <w:top w:val="none" w:sz="0" w:space="0" w:color="auto"/>
        <w:left w:val="none" w:sz="0" w:space="0" w:color="auto"/>
        <w:bottom w:val="none" w:sz="0" w:space="0" w:color="auto"/>
        <w:right w:val="none" w:sz="0" w:space="0" w:color="auto"/>
      </w:divBdr>
    </w:div>
    <w:div w:id="1850825092">
      <w:marLeft w:val="0"/>
      <w:marRight w:val="0"/>
      <w:marTop w:val="0"/>
      <w:marBottom w:val="0"/>
      <w:divBdr>
        <w:top w:val="none" w:sz="0" w:space="0" w:color="auto"/>
        <w:left w:val="none" w:sz="0" w:space="0" w:color="auto"/>
        <w:bottom w:val="none" w:sz="0" w:space="0" w:color="auto"/>
        <w:right w:val="none" w:sz="0" w:space="0" w:color="auto"/>
      </w:divBdr>
    </w:div>
    <w:div w:id="1850825093">
      <w:marLeft w:val="0"/>
      <w:marRight w:val="0"/>
      <w:marTop w:val="0"/>
      <w:marBottom w:val="0"/>
      <w:divBdr>
        <w:top w:val="none" w:sz="0" w:space="0" w:color="auto"/>
        <w:left w:val="none" w:sz="0" w:space="0" w:color="auto"/>
        <w:bottom w:val="none" w:sz="0" w:space="0" w:color="auto"/>
        <w:right w:val="none" w:sz="0" w:space="0" w:color="auto"/>
      </w:divBdr>
    </w:div>
    <w:div w:id="1850825094">
      <w:marLeft w:val="0"/>
      <w:marRight w:val="0"/>
      <w:marTop w:val="0"/>
      <w:marBottom w:val="0"/>
      <w:divBdr>
        <w:top w:val="none" w:sz="0" w:space="0" w:color="auto"/>
        <w:left w:val="none" w:sz="0" w:space="0" w:color="auto"/>
        <w:bottom w:val="none" w:sz="0" w:space="0" w:color="auto"/>
        <w:right w:val="none" w:sz="0" w:space="0" w:color="auto"/>
      </w:divBdr>
    </w:div>
    <w:div w:id="1850825095">
      <w:marLeft w:val="0"/>
      <w:marRight w:val="0"/>
      <w:marTop w:val="0"/>
      <w:marBottom w:val="0"/>
      <w:divBdr>
        <w:top w:val="none" w:sz="0" w:space="0" w:color="auto"/>
        <w:left w:val="none" w:sz="0" w:space="0" w:color="auto"/>
        <w:bottom w:val="none" w:sz="0" w:space="0" w:color="auto"/>
        <w:right w:val="none" w:sz="0" w:space="0" w:color="auto"/>
      </w:divBdr>
    </w:div>
    <w:div w:id="1850825096">
      <w:marLeft w:val="0"/>
      <w:marRight w:val="0"/>
      <w:marTop w:val="0"/>
      <w:marBottom w:val="0"/>
      <w:divBdr>
        <w:top w:val="none" w:sz="0" w:space="0" w:color="auto"/>
        <w:left w:val="none" w:sz="0" w:space="0" w:color="auto"/>
        <w:bottom w:val="none" w:sz="0" w:space="0" w:color="auto"/>
        <w:right w:val="none" w:sz="0" w:space="0" w:color="auto"/>
      </w:divBdr>
    </w:div>
    <w:div w:id="1850825097">
      <w:marLeft w:val="0"/>
      <w:marRight w:val="0"/>
      <w:marTop w:val="0"/>
      <w:marBottom w:val="0"/>
      <w:divBdr>
        <w:top w:val="none" w:sz="0" w:space="0" w:color="auto"/>
        <w:left w:val="none" w:sz="0" w:space="0" w:color="auto"/>
        <w:bottom w:val="none" w:sz="0" w:space="0" w:color="auto"/>
        <w:right w:val="none" w:sz="0" w:space="0" w:color="auto"/>
      </w:divBdr>
    </w:div>
    <w:div w:id="1850825098">
      <w:marLeft w:val="0"/>
      <w:marRight w:val="0"/>
      <w:marTop w:val="0"/>
      <w:marBottom w:val="0"/>
      <w:divBdr>
        <w:top w:val="none" w:sz="0" w:space="0" w:color="auto"/>
        <w:left w:val="none" w:sz="0" w:space="0" w:color="auto"/>
        <w:bottom w:val="none" w:sz="0" w:space="0" w:color="auto"/>
        <w:right w:val="none" w:sz="0" w:space="0" w:color="auto"/>
      </w:divBdr>
    </w:div>
    <w:div w:id="1850825099">
      <w:marLeft w:val="0"/>
      <w:marRight w:val="0"/>
      <w:marTop w:val="0"/>
      <w:marBottom w:val="0"/>
      <w:divBdr>
        <w:top w:val="none" w:sz="0" w:space="0" w:color="auto"/>
        <w:left w:val="none" w:sz="0" w:space="0" w:color="auto"/>
        <w:bottom w:val="none" w:sz="0" w:space="0" w:color="auto"/>
        <w:right w:val="none" w:sz="0" w:space="0" w:color="auto"/>
      </w:divBdr>
    </w:div>
    <w:div w:id="1850825100">
      <w:marLeft w:val="0"/>
      <w:marRight w:val="0"/>
      <w:marTop w:val="0"/>
      <w:marBottom w:val="0"/>
      <w:divBdr>
        <w:top w:val="none" w:sz="0" w:space="0" w:color="auto"/>
        <w:left w:val="none" w:sz="0" w:space="0" w:color="auto"/>
        <w:bottom w:val="none" w:sz="0" w:space="0" w:color="auto"/>
        <w:right w:val="none" w:sz="0" w:space="0" w:color="auto"/>
      </w:divBdr>
    </w:div>
    <w:div w:id="1850825101">
      <w:marLeft w:val="0"/>
      <w:marRight w:val="0"/>
      <w:marTop w:val="0"/>
      <w:marBottom w:val="0"/>
      <w:divBdr>
        <w:top w:val="none" w:sz="0" w:space="0" w:color="auto"/>
        <w:left w:val="none" w:sz="0" w:space="0" w:color="auto"/>
        <w:bottom w:val="none" w:sz="0" w:space="0" w:color="auto"/>
        <w:right w:val="none" w:sz="0" w:space="0" w:color="auto"/>
      </w:divBdr>
    </w:div>
    <w:div w:id="1850825102">
      <w:marLeft w:val="0"/>
      <w:marRight w:val="0"/>
      <w:marTop w:val="0"/>
      <w:marBottom w:val="0"/>
      <w:divBdr>
        <w:top w:val="none" w:sz="0" w:space="0" w:color="auto"/>
        <w:left w:val="none" w:sz="0" w:space="0" w:color="auto"/>
        <w:bottom w:val="none" w:sz="0" w:space="0" w:color="auto"/>
        <w:right w:val="none" w:sz="0" w:space="0" w:color="auto"/>
      </w:divBdr>
    </w:div>
    <w:div w:id="1850825103">
      <w:marLeft w:val="0"/>
      <w:marRight w:val="0"/>
      <w:marTop w:val="0"/>
      <w:marBottom w:val="0"/>
      <w:divBdr>
        <w:top w:val="none" w:sz="0" w:space="0" w:color="auto"/>
        <w:left w:val="none" w:sz="0" w:space="0" w:color="auto"/>
        <w:bottom w:val="none" w:sz="0" w:space="0" w:color="auto"/>
        <w:right w:val="none" w:sz="0" w:space="0" w:color="auto"/>
      </w:divBdr>
    </w:div>
    <w:div w:id="1850825104">
      <w:marLeft w:val="0"/>
      <w:marRight w:val="0"/>
      <w:marTop w:val="0"/>
      <w:marBottom w:val="0"/>
      <w:divBdr>
        <w:top w:val="none" w:sz="0" w:space="0" w:color="auto"/>
        <w:left w:val="none" w:sz="0" w:space="0" w:color="auto"/>
        <w:bottom w:val="none" w:sz="0" w:space="0" w:color="auto"/>
        <w:right w:val="none" w:sz="0" w:space="0" w:color="auto"/>
      </w:divBdr>
    </w:div>
    <w:div w:id="1850825105">
      <w:marLeft w:val="0"/>
      <w:marRight w:val="0"/>
      <w:marTop w:val="0"/>
      <w:marBottom w:val="0"/>
      <w:divBdr>
        <w:top w:val="none" w:sz="0" w:space="0" w:color="auto"/>
        <w:left w:val="none" w:sz="0" w:space="0" w:color="auto"/>
        <w:bottom w:val="none" w:sz="0" w:space="0" w:color="auto"/>
        <w:right w:val="none" w:sz="0" w:space="0" w:color="auto"/>
      </w:divBdr>
    </w:div>
    <w:div w:id="1850825106">
      <w:marLeft w:val="0"/>
      <w:marRight w:val="0"/>
      <w:marTop w:val="0"/>
      <w:marBottom w:val="0"/>
      <w:divBdr>
        <w:top w:val="none" w:sz="0" w:space="0" w:color="auto"/>
        <w:left w:val="none" w:sz="0" w:space="0" w:color="auto"/>
        <w:bottom w:val="none" w:sz="0" w:space="0" w:color="auto"/>
        <w:right w:val="none" w:sz="0" w:space="0" w:color="auto"/>
      </w:divBdr>
    </w:div>
    <w:div w:id="1850825107">
      <w:marLeft w:val="0"/>
      <w:marRight w:val="0"/>
      <w:marTop w:val="0"/>
      <w:marBottom w:val="0"/>
      <w:divBdr>
        <w:top w:val="none" w:sz="0" w:space="0" w:color="auto"/>
        <w:left w:val="none" w:sz="0" w:space="0" w:color="auto"/>
        <w:bottom w:val="none" w:sz="0" w:space="0" w:color="auto"/>
        <w:right w:val="none" w:sz="0" w:space="0" w:color="auto"/>
      </w:divBdr>
    </w:div>
    <w:div w:id="1850825109">
      <w:marLeft w:val="0"/>
      <w:marRight w:val="0"/>
      <w:marTop w:val="0"/>
      <w:marBottom w:val="0"/>
      <w:divBdr>
        <w:top w:val="none" w:sz="0" w:space="0" w:color="auto"/>
        <w:left w:val="none" w:sz="0" w:space="0" w:color="auto"/>
        <w:bottom w:val="none" w:sz="0" w:space="0" w:color="auto"/>
        <w:right w:val="none" w:sz="0" w:space="0" w:color="auto"/>
      </w:divBdr>
    </w:div>
    <w:div w:id="1850825111">
      <w:marLeft w:val="0"/>
      <w:marRight w:val="0"/>
      <w:marTop w:val="0"/>
      <w:marBottom w:val="0"/>
      <w:divBdr>
        <w:top w:val="none" w:sz="0" w:space="0" w:color="auto"/>
        <w:left w:val="none" w:sz="0" w:space="0" w:color="auto"/>
        <w:bottom w:val="none" w:sz="0" w:space="0" w:color="auto"/>
        <w:right w:val="none" w:sz="0" w:space="0" w:color="auto"/>
      </w:divBdr>
    </w:div>
    <w:div w:id="1850825112">
      <w:marLeft w:val="0"/>
      <w:marRight w:val="0"/>
      <w:marTop w:val="0"/>
      <w:marBottom w:val="0"/>
      <w:divBdr>
        <w:top w:val="none" w:sz="0" w:space="0" w:color="auto"/>
        <w:left w:val="none" w:sz="0" w:space="0" w:color="auto"/>
        <w:bottom w:val="none" w:sz="0" w:space="0" w:color="auto"/>
        <w:right w:val="none" w:sz="0" w:space="0" w:color="auto"/>
      </w:divBdr>
    </w:div>
    <w:div w:id="1850825113">
      <w:marLeft w:val="0"/>
      <w:marRight w:val="0"/>
      <w:marTop w:val="0"/>
      <w:marBottom w:val="0"/>
      <w:divBdr>
        <w:top w:val="none" w:sz="0" w:space="0" w:color="auto"/>
        <w:left w:val="none" w:sz="0" w:space="0" w:color="auto"/>
        <w:bottom w:val="none" w:sz="0" w:space="0" w:color="auto"/>
        <w:right w:val="none" w:sz="0" w:space="0" w:color="auto"/>
      </w:divBdr>
    </w:div>
    <w:div w:id="1850825114">
      <w:marLeft w:val="0"/>
      <w:marRight w:val="0"/>
      <w:marTop w:val="0"/>
      <w:marBottom w:val="0"/>
      <w:divBdr>
        <w:top w:val="none" w:sz="0" w:space="0" w:color="auto"/>
        <w:left w:val="none" w:sz="0" w:space="0" w:color="auto"/>
        <w:bottom w:val="none" w:sz="0" w:space="0" w:color="auto"/>
        <w:right w:val="none" w:sz="0" w:space="0" w:color="auto"/>
      </w:divBdr>
    </w:div>
    <w:div w:id="1850825115">
      <w:marLeft w:val="0"/>
      <w:marRight w:val="0"/>
      <w:marTop w:val="0"/>
      <w:marBottom w:val="0"/>
      <w:divBdr>
        <w:top w:val="none" w:sz="0" w:space="0" w:color="auto"/>
        <w:left w:val="none" w:sz="0" w:space="0" w:color="auto"/>
        <w:bottom w:val="none" w:sz="0" w:space="0" w:color="auto"/>
        <w:right w:val="none" w:sz="0" w:space="0" w:color="auto"/>
      </w:divBdr>
    </w:div>
    <w:div w:id="1850825116">
      <w:marLeft w:val="0"/>
      <w:marRight w:val="0"/>
      <w:marTop w:val="0"/>
      <w:marBottom w:val="0"/>
      <w:divBdr>
        <w:top w:val="none" w:sz="0" w:space="0" w:color="auto"/>
        <w:left w:val="none" w:sz="0" w:space="0" w:color="auto"/>
        <w:bottom w:val="none" w:sz="0" w:space="0" w:color="auto"/>
        <w:right w:val="none" w:sz="0" w:space="0" w:color="auto"/>
      </w:divBdr>
    </w:div>
    <w:div w:id="1850825117">
      <w:marLeft w:val="0"/>
      <w:marRight w:val="0"/>
      <w:marTop w:val="0"/>
      <w:marBottom w:val="0"/>
      <w:divBdr>
        <w:top w:val="none" w:sz="0" w:space="0" w:color="auto"/>
        <w:left w:val="none" w:sz="0" w:space="0" w:color="auto"/>
        <w:bottom w:val="none" w:sz="0" w:space="0" w:color="auto"/>
        <w:right w:val="none" w:sz="0" w:space="0" w:color="auto"/>
      </w:divBdr>
    </w:div>
    <w:div w:id="1850825119">
      <w:marLeft w:val="0"/>
      <w:marRight w:val="0"/>
      <w:marTop w:val="0"/>
      <w:marBottom w:val="0"/>
      <w:divBdr>
        <w:top w:val="none" w:sz="0" w:space="0" w:color="auto"/>
        <w:left w:val="none" w:sz="0" w:space="0" w:color="auto"/>
        <w:bottom w:val="none" w:sz="0" w:space="0" w:color="auto"/>
        <w:right w:val="none" w:sz="0" w:space="0" w:color="auto"/>
      </w:divBdr>
    </w:div>
    <w:div w:id="1850825120">
      <w:marLeft w:val="0"/>
      <w:marRight w:val="0"/>
      <w:marTop w:val="0"/>
      <w:marBottom w:val="0"/>
      <w:divBdr>
        <w:top w:val="none" w:sz="0" w:space="0" w:color="auto"/>
        <w:left w:val="none" w:sz="0" w:space="0" w:color="auto"/>
        <w:bottom w:val="none" w:sz="0" w:space="0" w:color="auto"/>
        <w:right w:val="none" w:sz="0" w:space="0" w:color="auto"/>
      </w:divBdr>
      <w:divsChild>
        <w:div w:id="1850825043">
          <w:marLeft w:val="0"/>
          <w:marRight w:val="0"/>
          <w:marTop w:val="0"/>
          <w:marBottom w:val="0"/>
          <w:divBdr>
            <w:top w:val="none" w:sz="0" w:space="0" w:color="auto"/>
            <w:left w:val="none" w:sz="0" w:space="0" w:color="auto"/>
            <w:bottom w:val="none" w:sz="0" w:space="0" w:color="auto"/>
            <w:right w:val="none" w:sz="0" w:space="0" w:color="auto"/>
          </w:divBdr>
        </w:div>
        <w:div w:id="1850825044">
          <w:marLeft w:val="0"/>
          <w:marRight w:val="0"/>
          <w:marTop w:val="0"/>
          <w:marBottom w:val="0"/>
          <w:divBdr>
            <w:top w:val="none" w:sz="0" w:space="0" w:color="auto"/>
            <w:left w:val="none" w:sz="0" w:space="0" w:color="auto"/>
            <w:bottom w:val="none" w:sz="0" w:space="0" w:color="auto"/>
            <w:right w:val="none" w:sz="0" w:space="0" w:color="auto"/>
          </w:divBdr>
        </w:div>
        <w:div w:id="1850825060">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850825065">
          <w:marLeft w:val="0"/>
          <w:marRight w:val="0"/>
          <w:marTop w:val="0"/>
          <w:marBottom w:val="0"/>
          <w:divBdr>
            <w:top w:val="none" w:sz="0" w:space="0" w:color="auto"/>
            <w:left w:val="none" w:sz="0" w:space="0" w:color="auto"/>
            <w:bottom w:val="none" w:sz="0" w:space="0" w:color="auto"/>
            <w:right w:val="none" w:sz="0" w:space="0" w:color="auto"/>
          </w:divBdr>
        </w:div>
        <w:div w:id="1850825082">
          <w:marLeft w:val="0"/>
          <w:marRight w:val="0"/>
          <w:marTop w:val="0"/>
          <w:marBottom w:val="0"/>
          <w:divBdr>
            <w:top w:val="none" w:sz="0" w:space="0" w:color="auto"/>
            <w:left w:val="none" w:sz="0" w:space="0" w:color="auto"/>
            <w:bottom w:val="none" w:sz="0" w:space="0" w:color="auto"/>
            <w:right w:val="none" w:sz="0" w:space="0" w:color="auto"/>
          </w:divBdr>
        </w:div>
        <w:div w:id="1850825088">
          <w:marLeft w:val="0"/>
          <w:marRight w:val="0"/>
          <w:marTop w:val="0"/>
          <w:marBottom w:val="0"/>
          <w:divBdr>
            <w:top w:val="none" w:sz="0" w:space="0" w:color="auto"/>
            <w:left w:val="none" w:sz="0" w:space="0" w:color="auto"/>
            <w:bottom w:val="none" w:sz="0" w:space="0" w:color="auto"/>
            <w:right w:val="none" w:sz="0" w:space="0" w:color="auto"/>
          </w:divBdr>
        </w:div>
        <w:div w:id="1850825133">
          <w:marLeft w:val="0"/>
          <w:marRight w:val="0"/>
          <w:marTop w:val="0"/>
          <w:marBottom w:val="0"/>
          <w:divBdr>
            <w:top w:val="none" w:sz="0" w:space="0" w:color="auto"/>
            <w:left w:val="none" w:sz="0" w:space="0" w:color="auto"/>
            <w:bottom w:val="none" w:sz="0" w:space="0" w:color="auto"/>
            <w:right w:val="none" w:sz="0" w:space="0" w:color="auto"/>
          </w:divBdr>
        </w:div>
      </w:divsChild>
    </w:div>
    <w:div w:id="1850825121">
      <w:marLeft w:val="0"/>
      <w:marRight w:val="0"/>
      <w:marTop w:val="0"/>
      <w:marBottom w:val="0"/>
      <w:divBdr>
        <w:top w:val="none" w:sz="0" w:space="0" w:color="auto"/>
        <w:left w:val="none" w:sz="0" w:space="0" w:color="auto"/>
        <w:bottom w:val="none" w:sz="0" w:space="0" w:color="auto"/>
        <w:right w:val="none" w:sz="0" w:space="0" w:color="auto"/>
      </w:divBdr>
    </w:div>
    <w:div w:id="1850825122">
      <w:marLeft w:val="0"/>
      <w:marRight w:val="0"/>
      <w:marTop w:val="0"/>
      <w:marBottom w:val="0"/>
      <w:divBdr>
        <w:top w:val="none" w:sz="0" w:space="0" w:color="auto"/>
        <w:left w:val="none" w:sz="0" w:space="0" w:color="auto"/>
        <w:bottom w:val="none" w:sz="0" w:space="0" w:color="auto"/>
        <w:right w:val="none" w:sz="0" w:space="0" w:color="auto"/>
      </w:divBdr>
    </w:div>
    <w:div w:id="1850825123">
      <w:marLeft w:val="0"/>
      <w:marRight w:val="0"/>
      <w:marTop w:val="0"/>
      <w:marBottom w:val="0"/>
      <w:divBdr>
        <w:top w:val="none" w:sz="0" w:space="0" w:color="auto"/>
        <w:left w:val="none" w:sz="0" w:space="0" w:color="auto"/>
        <w:bottom w:val="none" w:sz="0" w:space="0" w:color="auto"/>
        <w:right w:val="none" w:sz="0" w:space="0" w:color="auto"/>
      </w:divBdr>
    </w:div>
    <w:div w:id="1850825124">
      <w:marLeft w:val="0"/>
      <w:marRight w:val="0"/>
      <w:marTop w:val="0"/>
      <w:marBottom w:val="0"/>
      <w:divBdr>
        <w:top w:val="none" w:sz="0" w:space="0" w:color="auto"/>
        <w:left w:val="none" w:sz="0" w:space="0" w:color="auto"/>
        <w:bottom w:val="none" w:sz="0" w:space="0" w:color="auto"/>
        <w:right w:val="none" w:sz="0" w:space="0" w:color="auto"/>
      </w:divBdr>
    </w:div>
    <w:div w:id="1850825125">
      <w:marLeft w:val="0"/>
      <w:marRight w:val="0"/>
      <w:marTop w:val="0"/>
      <w:marBottom w:val="0"/>
      <w:divBdr>
        <w:top w:val="none" w:sz="0" w:space="0" w:color="auto"/>
        <w:left w:val="none" w:sz="0" w:space="0" w:color="auto"/>
        <w:bottom w:val="none" w:sz="0" w:space="0" w:color="auto"/>
        <w:right w:val="none" w:sz="0" w:space="0" w:color="auto"/>
      </w:divBdr>
    </w:div>
    <w:div w:id="1850825126">
      <w:marLeft w:val="0"/>
      <w:marRight w:val="0"/>
      <w:marTop w:val="0"/>
      <w:marBottom w:val="0"/>
      <w:divBdr>
        <w:top w:val="none" w:sz="0" w:space="0" w:color="auto"/>
        <w:left w:val="none" w:sz="0" w:space="0" w:color="auto"/>
        <w:bottom w:val="none" w:sz="0" w:space="0" w:color="auto"/>
        <w:right w:val="none" w:sz="0" w:space="0" w:color="auto"/>
      </w:divBdr>
    </w:div>
    <w:div w:id="1850825127">
      <w:marLeft w:val="0"/>
      <w:marRight w:val="0"/>
      <w:marTop w:val="0"/>
      <w:marBottom w:val="0"/>
      <w:divBdr>
        <w:top w:val="none" w:sz="0" w:space="0" w:color="auto"/>
        <w:left w:val="none" w:sz="0" w:space="0" w:color="auto"/>
        <w:bottom w:val="none" w:sz="0" w:space="0" w:color="auto"/>
        <w:right w:val="none" w:sz="0" w:space="0" w:color="auto"/>
      </w:divBdr>
    </w:div>
    <w:div w:id="1850825128">
      <w:marLeft w:val="0"/>
      <w:marRight w:val="0"/>
      <w:marTop w:val="0"/>
      <w:marBottom w:val="0"/>
      <w:divBdr>
        <w:top w:val="none" w:sz="0" w:space="0" w:color="auto"/>
        <w:left w:val="none" w:sz="0" w:space="0" w:color="auto"/>
        <w:bottom w:val="none" w:sz="0" w:space="0" w:color="auto"/>
        <w:right w:val="none" w:sz="0" w:space="0" w:color="auto"/>
      </w:divBdr>
    </w:div>
    <w:div w:id="1850825129">
      <w:marLeft w:val="0"/>
      <w:marRight w:val="0"/>
      <w:marTop w:val="0"/>
      <w:marBottom w:val="0"/>
      <w:divBdr>
        <w:top w:val="none" w:sz="0" w:space="0" w:color="auto"/>
        <w:left w:val="none" w:sz="0" w:space="0" w:color="auto"/>
        <w:bottom w:val="none" w:sz="0" w:space="0" w:color="auto"/>
        <w:right w:val="none" w:sz="0" w:space="0" w:color="auto"/>
      </w:divBdr>
    </w:div>
    <w:div w:id="1850825130">
      <w:marLeft w:val="0"/>
      <w:marRight w:val="0"/>
      <w:marTop w:val="0"/>
      <w:marBottom w:val="0"/>
      <w:divBdr>
        <w:top w:val="none" w:sz="0" w:space="0" w:color="auto"/>
        <w:left w:val="none" w:sz="0" w:space="0" w:color="auto"/>
        <w:bottom w:val="none" w:sz="0" w:space="0" w:color="auto"/>
        <w:right w:val="none" w:sz="0" w:space="0" w:color="auto"/>
      </w:divBdr>
    </w:div>
    <w:div w:id="1850825131">
      <w:marLeft w:val="0"/>
      <w:marRight w:val="0"/>
      <w:marTop w:val="0"/>
      <w:marBottom w:val="0"/>
      <w:divBdr>
        <w:top w:val="none" w:sz="0" w:space="0" w:color="auto"/>
        <w:left w:val="none" w:sz="0" w:space="0" w:color="auto"/>
        <w:bottom w:val="none" w:sz="0" w:space="0" w:color="auto"/>
        <w:right w:val="none" w:sz="0" w:space="0" w:color="auto"/>
      </w:divBdr>
    </w:div>
    <w:div w:id="1850825132">
      <w:marLeft w:val="0"/>
      <w:marRight w:val="0"/>
      <w:marTop w:val="0"/>
      <w:marBottom w:val="0"/>
      <w:divBdr>
        <w:top w:val="none" w:sz="0" w:space="0" w:color="auto"/>
        <w:left w:val="none" w:sz="0" w:space="0" w:color="auto"/>
        <w:bottom w:val="none" w:sz="0" w:space="0" w:color="auto"/>
        <w:right w:val="none" w:sz="0" w:space="0" w:color="auto"/>
      </w:divBdr>
    </w:div>
    <w:div w:id="1850825134">
      <w:marLeft w:val="0"/>
      <w:marRight w:val="0"/>
      <w:marTop w:val="0"/>
      <w:marBottom w:val="0"/>
      <w:divBdr>
        <w:top w:val="none" w:sz="0" w:space="0" w:color="auto"/>
        <w:left w:val="none" w:sz="0" w:space="0" w:color="auto"/>
        <w:bottom w:val="none" w:sz="0" w:space="0" w:color="auto"/>
        <w:right w:val="none" w:sz="0" w:space="0" w:color="auto"/>
      </w:divBdr>
    </w:div>
    <w:div w:id="1850825135">
      <w:marLeft w:val="0"/>
      <w:marRight w:val="0"/>
      <w:marTop w:val="0"/>
      <w:marBottom w:val="0"/>
      <w:divBdr>
        <w:top w:val="none" w:sz="0" w:space="0" w:color="auto"/>
        <w:left w:val="none" w:sz="0" w:space="0" w:color="auto"/>
        <w:bottom w:val="none" w:sz="0" w:space="0" w:color="auto"/>
        <w:right w:val="none" w:sz="0" w:space="0" w:color="auto"/>
      </w:divBdr>
    </w:div>
    <w:div w:id="18508251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ormattiva.it/uri-res/N2Ls?urn:nir:stato:decreto.legislativo:2000-08-18;267~art187!vig=" TargetMode="External"/><Relationship Id="rId21" Type="http://schemas.openxmlformats.org/officeDocument/2006/relationships/oleObject" Target="embeddings/Foglio_di_lavoro_di_Microsoft_Office_Excel_97-20036.xls"/><Relationship Id="rId42" Type="http://schemas.openxmlformats.org/officeDocument/2006/relationships/oleObject" Target="embeddings/Foglio_di_lavoro_di_Microsoft_Office_Excel_97-200316.xls"/><Relationship Id="rId47" Type="http://schemas.openxmlformats.org/officeDocument/2006/relationships/image" Target="media/image19.emf"/><Relationship Id="rId63" Type="http://schemas.openxmlformats.org/officeDocument/2006/relationships/hyperlink" Target="http://bd01.leggiditalia.it/cgi-bin/FulShow?TIPO=5&amp;NOTXT=1&amp;KEY=01LX0000609570" TargetMode="External"/><Relationship Id="rId68" Type="http://schemas.openxmlformats.org/officeDocument/2006/relationships/hyperlink" Target="http://www.corteconti.it/export/sites/portalecdc/_documenti/controllo/sezioni_riunite/sezioni_riunite_in_sede_di_controllo/2011/delibera_51_2011_qm.pdf" TargetMode="External"/><Relationship Id="rId84" Type="http://schemas.openxmlformats.org/officeDocument/2006/relationships/image" Target="media/image32.emf"/><Relationship Id="rId89" Type="http://schemas.openxmlformats.org/officeDocument/2006/relationships/oleObject" Target="embeddings/Foglio_di_lavoro_di_Microsoft_Office_Excel_97-200334.xls"/><Relationship Id="rId7" Type="http://schemas.openxmlformats.org/officeDocument/2006/relationships/endnotes" Target="endnotes.xml"/><Relationship Id="rId71" Type="http://schemas.openxmlformats.org/officeDocument/2006/relationships/hyperlink" Target="http://bd01.leggiditalia.it/cgi-bin/FulShow?TIPO=5&amp;NOTXT=1&amp;KEY=01LX0000803574ART13" TargetMode="External"/><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oleObject" Target="embeddings/Foglio_di_lavoro_di_Microsoft_Office_Excel_97-20034.xls"/><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oleObject" Target="embeddings/Foglio_di_lavoro_di_Microsoft_Office_Excel_97-200311.xls"/><Relationship Id="rId37" Type="http://schemas.openxmlformats.org/officeDocument/2006/relationships/image" Target="media/image14.emf"/><Relationship Id="rId40" Type="http://schemas.openxmlformats.org/officeDocument/2006/relationships/oleObject" Target="embeddings/Foglio_di_lavoro_di_Microsoft_Office_Excel_97-200315.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yperlink" Target="http://bd01.leggiditalia.it/cgi-bin/FulShow?TIPO=5&amp;NOTXT=1&amp;KEY=01LX0000771393" TargetMode="External"/><Relationship Id="rId66" Type="http://schemas.openxmlformats.org/officeDocument/2006/relationships/image" Target="media/image25.emf"/><Relationship Id="rId74" Type="http://schemas.openxmlformats.org/officeDocument/2006/relationships/image" Target="media/image28.emf"/><Relationship Id="rId79" Type="http://schemas.openxmlformats.org/officeDocument/2006/relationships/hyperlink" Target="http://bd01.leggiditalia.it/cgi-bin/FulShow?TIPO=5&amp;NOTXT=1&amp;KEY=01LX0000783143" TargetMode="External"/><Relationship Id="rId87" Type="http://schemas.openxmlformats.org/officeDocument/2006/relationships/oleObject" Target="embeddings/Foglio_di_lavoro_di_Microsoft_Office_Excel_97-200333.xls"/><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d01.leggiditalia.it/cgi-bin/FulShow?TIPO=5&amp;NOTXT=1&amp;KEY=01LX0000607222ART133" TargetMode="External"/><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oleObject" Target="embeddings/Foglio_di_lavoro_di_Microsoft_Office_Excel_97-200337.xls"/><Relationship Id="rId19" Type="http://schemas.openxmlformats.org/officeDocument/2006/relationships/hyperlink" Target="http://www.normattiva.it/uri-res/N2Ls?urn:nir:stato:legge:2006-12-27;296~art1" TargetMode="External"/><Relationship Id="rId14" Type="http://schemas.openxmlformats.org/officeDocument/2006/relationships/oleObject" Target="embeddings/Foglio_di_lavoro_di_Microsoft_Office_Excel_97-20033.xls"/><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oleObject" Target="embeddings/Foglio_di_lavoro_di_Microsoft_Office_Excel_97-200310.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Foglio_di_lavoro_di_Microsoft_Office_Excel_97-200319.xls"/><Relationship Id="rId56" Type="http://schemas.openxmlformats.org/officeDocument/2006/relationships/oleObject" Target="embeddings/Foglio_di_lavoro_di_Microsoft_Office_Excel_97-200323.xls"/><Relationship Id="rId64" Type="http://schemas.openxmlformats.org/officeDocument/2006/relationships/image" Target="media/image24.emf"/><Relationship Id="rId69" Type="http://schemas.openxmlformats.org/officeDocument/2006/relationships/image" Target="media/image26.emf"/><Relationship Id="rId77" Type="http://schemas.openxmlformats.org/officeDocument/2006/relationships/oleObject" Target="embeddings/Foglio_di_lavoro_di_Microsoft_Office_Excel_97-200329.xls"/><Relationship Id="rId100" Type="http://schemas.openxmlformats.org/officeDocument/2006/relationships/footer" Target="footer2.xml"/><Relationship Id="rId8" Type="http://schemas.openxmlformats.org/officeDocument/2006/relationships/hyperlink" Target="http://finanzalocale.interno.it/apps/floc.php/in/cod/1/0" TargetMode="External"/><Relationship Id="rId51" Type="http://schemas.openxmlformats.org/officeDocument/2006/relationships/image" Target="media/image21.emf"/><Relationship Id="rId72" Type="http://schemas.openxmlformats.org/officeDocument/2006/relationships/image" Target="media/image27.emf"/><Relationship Id="rId80" Type="http://schemas.openxmlformats.org/officeDocument/2006/relationships/image" Target="media/image30.emf"/><Relationship Id="rId85" Type="http://schemas.openxmlformats.org/officeDocument/2006/relationships/oleObject" Target="embeddings/Foglio_di_lavoro_di_Microsoft_Office_Excel_97-200332.xls"/><Relationship Id="rId93" Type="http://schemas.openxmlformats.org/officeDocument/2006/relationships/oleObject" Target="embeddings/Foglio_di_lavoro_di_Microsoft_Office_Excel_97-200336.xls"/><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Foglio_di_lavoro_di_Microsoft_Office_Excel_97-20032.xls"/><Relationship Id="rId17" Type="http://schemas.openxmlformats.org/officeDocument/2006/relationships/image" Target="media/image5.emf"/><Relationship Id="rId25" Type="http://schemas.openxmlformats.org/officeDocument/2006/relationships/oleObject" Target="embeddings/Foglio_di_lavoro_di_Microsoft_Office_Excel_97-20038.xls"/><Relationship Id="rId33" Type="http://schemas.openxmlformats.org/officeDocument/2006/relationships/image" Target="media/image12.emf"/><Relationship Id="rId38" Type="http://schemas.openxmlformats.org/officeDocument/2006/relationships/oleObject" Target="embeddings/Foglio_di_lavoro_di_Microsoft_Office_Excel_97-200314.xls"/><Relationship Id="rId46" Type="http://schemas.openxmlformats.org/officeDocument/2006/relationships/oleObject" Target="embeddings/Foglio_di_lavoro_di_Microsoft_Office_Excel_97-200318.xls"/><Relationship Id="rId59" Type="http://schemas.openxmlformats.org/officeDocument/2006/relationships/hyperlink" Target="http://bd01.leggiditalia.it/cgi-bin/FulShow?TIPO=5&amp;NOTXT=1&amp;KEY=01LX0000773044" TargetMode="External"/><Relationship Id="rId67" Type="http://schemas.openxmlformats.org/officeDocument/2006/relationships/oleObject" Target="embeddings/Foglio_di_lavoro_di_Microsoft_Office_Excel_97-200325.xls"/><Relationship Id="rId103" Type="http://schemas.microsoft.com/office/2007/relationships/stylesWithEffects" Target="stylesWithEffects.xml"/><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oleObject" Target="embeddings/Foglio_di_lavoro_di_Microsoft_Office_Excel_97-200322.xls"/><Relationship Id="rId62" Type="http://schemas.openxmlformats.org/officeDocument/2006/relationships/hyperlink" Target="http://bd01.leggiditalia.it/cgi-bin/FulShow?TIPO=5&amp;NOTXT=1&amp;KEY=01LX0000607222" TargetMode="External"/><Relationship Id="rId70" Type="http://schemas.openxmlformats.org/officeDocument/2006/relationships/oleObject" Target="embeddings/Foglio_di_lavoro_di_Microsoft_Office_Excel_97-200326.xls"/><Relationship Id="rId75" Type="http://schemas.openxmlformats.org/officeDocument/2006/relationships/oleObject" Target="embeddings/Foglio_di_lavoro_di_Microsoft_Office_Excel_97-200328.xls"/><Relationship Id="rId83" Type="http://schemas.openxmlformats.org/officeDocument/2006/relationships/oleObject" Target="embeddings/Foglio_di_lavoro_di_Microsoft_Office_Excel_97-200331.xls"/><Relationship Id="rId88" Type="http://schemas.openxmlformats.org/officeDocument/2006/relationships/image" Target="media/image34.emf"/><Relationship Id="rId91" Type="http://schemas.openxmlformats.org/officeDocument/2006/relationships/oleObject" Target="embeddings/Foglio_di_lavoro_di_Microsoft_Office_Excel_97-200335.xls"/><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Foglio_di_lavoro_di_Microsoft_Office_Excel_97-20037.xls"/><Relationship Id="rId28" Type="http://schemas.openxmlformats.org/officeDocument/2006/relationships/oleObject" Target="embeddings/Foglio_di_lavoro_di_Microsoft_Office_Excel_97-20039.xls"/><Relationship Id="rId36" Type="http://schemas.openxmlformats.org/officeDocument/2006/relationships/oleObject" Target="embeddings/Foglio_di_lavoro_di_Microsoft_Office_Excel_97-200313.xls"/><Relationship Id="rId49" Type="http://schemas.openxmlformats.org/officeDocument/2006/relationships/image" Target="media/image20.emf"/><Relationship Id="rId57" Type="http://schemas.openxmlformats.org/officeDocument/2006/relationships/hyperlink" Target="http://bd01.leggiditalia.it/cgi-bin/FulShow?TIPO=5&amp;NOTXT=1&amp;KEY=01LX0000771393ART40" TargetMode="External"/><Relationship Id="rId10" Type="http://schemas.openxmlformats.org/officeDocument/2006/relationships/oleObject" Target="embeddings/Foglio_di_lavoro_di_Microsoft_Office_Excel_97-20031.xls"/><Relationship Id="rId31" Type="http://schemas.openxmlformats.org/officeDocument/2006/relationships/image" Target="media/image11.emf"/><Relationship Id="rId44" Type="http://schemas.openxmlformats.org/officeDocument/2006/relationships/oleObject" Target="embeddings/Foglio_di_lavoro_di_Microsoft_Office_Excel_97-200317.xls"/><Relationship Id="rId52" Type="http://schemas.openxmlformats.org/officeDocument/2006/relationships/oleObject" Target="embeddings/Foglio_di_lavoro_di_Microsoft_Office_Excel_97-200321.xls"/><Relationship Id="rId60" Type="http://schemas.openxmlformats.org/officeDocument/2006/relationships/hyperlink" Target="http://bd01.leggiditalia.it/cgi-bin/FulShow?TIPO=5&amp;NOTXT=1&amp;KEY=01LX0000488506" TargetMode="External"/><Relationship Id="rId65" Type="http://schemas.openxmlformats.org/officeDocument/2006/relationships/oleObject" Target="embeddings/Foglio_di_lavoro_di_Microsoft_Office_Excel_97-200324.xls"/><Relationship Id="rId73" Type="http://schemas.openxmlformats.org/officeDocument/2006/relationships/oleObject" Target="embeddings/Foglio_di_lavoro_di_Microsoft_Office_Excel_97-200327.xls"/><Relationship Id="rId78" Type="http://schemas.openxmlformats.org/officeDocument/2006/relationships/hyperlink" Target="http://bd01.leggiditalia.it/cgi-bin/FulShow?TIPO=5&amp;NOTXT=1&amp;KEY=01LX0000783143ART13" TargetMode="External"/><Relationship Id="rId81" Type="http://schemas.openxmlformats.org/officeDocument/2006/relationships/oleObject" Target="embeddings/Foglio_di_lavoro_di_Microsoft_Office_Excel_97-200330.xls"/><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Foglio_di_lavoro_di_Microsoft_Office_Excel_97-20035.xls"/><Relationship Id="rId39" Type="http://schemas.openxmlformats.org/officeDocument/2006/relationships/image" Target="media/image15.emf"/><Relationship Id="rId34" Type="http://schemas.openxmlformats.org/officeDocument/2006/relationships/oleObject" Target="embeddings/Foglio_di_lavoro_di_Microsoft_Office_Excel_97-200312.xls"/><Relationship Id="rId50" Type="http://schemas.openxmlformats.org/officeDocument/2006/relationships/oleObject" Target="embeddings/Foglio_di_lavoro_di_Microsoft_Office_Excel_97-200320.xls"/><Relationship Id="rId55" Type="http://schemas.openxmlformats.org/officeDocument/2006/relationships/image" Target="media/image23.emf"/><Relationship Id="rId76" Type="http://schemas.openxmlformats.org/officeDocument/2006/relationships/image" Target="media/image29.emf"/><Relationship Id="rId97" Type="http://schemas.openxmlformats.org/officeDocument/2006/relationships/oleObject" Target="embeddings/Foglio_di_lavoro_di_Microsoft_Office_Excel_97-200338.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EDEF-0106-46F5-9658-56AA7C96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15172</Words>
  <Characters>86486</Characters>
  <Application>Microsoft Office Word</Application>
  <DocSecurity>0</DocSecurity>
  <Lines>720</Lines>
  <Paragraphs>202</Paragraphs>
  <ScaleCrop>false</ScaleCrop>
  <HeadingPairs>
    <vt:vector size="2" baseType="variant">
      <vt:variant>
        <vt:lpstr>Titolo</vt:lpstr>
      </vt:variant>
      <vt:variant>
        <vt:i4>1</vt:i4>
      </vt:variant>
    </vt:vector>
  </HeadingPairs>
  <TitlesOfParts>
    <vt:vector size="1" baseType="lpstr">
      <vt:lpstr/>
    </vt:vector>
  </TitlesOfParts>
  <Company>BORGHI</Company>
  <LinksUpToDate>false</LinksUpToDate>
  <CharactersWithSpaces>101456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Parere organo di revisione</dc:subject>
  <dc:creator>Antonino</dc:creator>
  <cp:lastModifiedBy>Valentina</cp:lastModifiedBy>
  <cp:revision>2</cp:revision>
  <cp:lastPrinted>2015-01-15T13:50:00Z</cp:lastPrinted>
  <dcterms:created xsi:type="dcterms:W3CDTF">2015-02-02T08:25:00Z</dcterms:created>
  <dcterms:modified xsi:type="dcterms:W3CDTF">2015-02-02T08:25:00Z</dcterms:modified>
</cp:coreProperties>
</file>